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3BD0D" w14:textId="7F9C0FA3" w:rsidR="00D848BE" w:rsidRDefault="005B732B" w:rsidP="00EA1DBD">
      <w:pPr>
        <w:pStyle w:val="Heading1"/>
        <w:spacing w:before="720"/>
      </w:pPr>
      <w:r>
        <w:rPr>
          <w:noProof/>
        </w:rPr>
        <mc:AlternateContent>
          <mc:Choice Requires="wps">
            <w:drawing>
              <wp:anchor distT="0" distB="0" distL="114300" distR="114300" simplePos="0" relativeHeight="251664384" behindDoc="0" locked="0" layoutInCell="1" allowOverlap="1" wp14:anchorId="43365000" wp14:editId="73C4D89B">
                <wp:simplePos x="0" y="0"/>
                <wp:positionH relativeFrom="column">
                  <wp:posOffset>-2466975</wp:posOffset>
                </wp:positionH>
                <wp:positionV relativeFrom="paragraph">
                  <wp:posOffset>885825</wp:posOffset>
                </wp:positionV>
                <wp:extent cx="7407275" cy="2762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7407275" cy="276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806E6A" w14:textId="31D6FF69" w:rsidR="00A11C0A" w:rsidRPr="005B732B" w:rsidRDefault="00A11C0A" w:rsidP="005E4064">
                            <w:pPr>
                              <w:rPr>
                                <w:i/>
                                <w:iCs/>
                                <w:sz w:val="19"/>
                                <w:szCs w:val="19"/>
                              </w:rPr>
                            </w:pPr>
                            <w:proofErr w:type="gramStart"/>
                            <w:r w:rsidRPr="005B732B">
                              <w:rPr>
                                <w:i/>
                                <w:iCs/>
                                <w:sz w:val="19"/>
                                <w:szCs w:val="19"/>
                              </w:rPr>
                              <w:t xml:space="preserve">A Peace Corps Volunteer and other participants in the </w:t>
                            </w:r>
                            <w:proofErr w:type="spellStart"/>
                            <w:r w:rsidRPr="005B732B">
                              <w:rPr>
                                <w:i/>
                                <w:iCs/>
                                <w:sz w:val="19"/>
                                <w:szCs w:val="19"/>
                              </w:rPr>
                              <w:t>Padayon</w:t>
                            </w:r>
                            <w:proofErr w:type="spellEnd"/>
                            <w:r w:rsidRPr="005B732B">
                              <w:rPr>
                                <w:i/>
                                <w:iCs/>
                                <w:sz w:val="19"/>
                                <w:szCs w:val="19"/>
                              </w:rPr>
                              <w:t xml:space="preserve"> </w:t>
                            </w:r>
                            <w:proofErr w:type="spellStart"/>
                            <w:r w:rsidRPr="005B732B">
                              <w:rPr>
                                <w:i/>
                                <w:iCs/>
                                <w:sz w:val="19"/>
                                <w:szCs w:val="19"/>
                              </w:rPr>
                              <w:t>Mindano</w:t>
                            </w:r>
                            <w:proofErr w:type="spellEnd"/>
                            <w:r w:rsidRPr="005B732B">
                              <w:rPr>
                                <w:i/>
                                <w:iCs/>
                                <w:sz w:val="19"/>
                                <w:szCs w:val="19"/>
                              </w:rPr>
                              <w:t xml:space="preserve"> Training of Trainers.</w:t>
                            </w:r>
                            <w:proofErr w:type="gramEnd"/>
                            <w:r w:rsidRPr="005B732B">
                              <w:rPr>
                                <w:i/>
                                <w:iCs/>
                                <w:sz w:val="19"/>
                                <w:szCs w:val="19"/>
                              </w:rPr>
                              <w:t xml:space="preserve"> Photo by Peace Corps/Philippines</w:t>
                            </w:r>
                          </w:p>
                          <w:p w14:paraId="070106FD" w14:textId="77777777" w:rsidR="00A11C0A" w:rsidRDefault="00A11C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4.25pt;margin-top:69.75pt;width:583.25pt;height: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" filled="f" stroked="f">
                <v:textbox>
                  <w:txbxContent>
                    <w:p w14:paraId="4A806E6A" w14:textId="31D6FF69" w:rsidR="00A11C0A" w:rsidRPr="005B732B" w:rsidRDefault="00A11C0A" w:rsidP="005E4064">
                      <w:pPr>
                        <w:rPr>
                          <w:i/>
                          <w:iCs/>
                          <w:sz w:val="19"/>
                          <w:szCs w:val="19"/>
                        </w:rPr>
                      </w:pPr>
                      <w:proofErr w:type="gramStart"/>
                      <w:r w:rsidRPr="005B732B">
                        <w:rPr>
                          <w:i/>
                          <w:iCs/>
                          <w:sz w:val="19"/>
                          <w:szCs w:val="19"/>
                        </w:rPr>
                        <w:t xml:space="preserve">A Peace Corps Volunteer and other participants in the </w:t>
                      </w:r>
                      <w:proofErr w:type="spellStart"/>
                      <w:r w:rsidRPr="005B732B">
                        <w:rPr>
                          <w:i/>
                          <w:iCs/>
                          <w:sz w:val="19"/>
                          <w:szCs w:val="19"/>
                        </w:rPr>
                        <w:t>Padayon</w:t>
                      </w:r>
                      <w:proofErr w:type="spellEnd"/>
                      <w:r w:rsidRPr="005B732B">
                        <w:rPr>
                          <w:i/>
                          <w:iCs/>
                          <w:sz w:val="19"/>
                          <w:szCs w:val="19"/>
                        </w:rPr>
                        <w:t xml:space="preserve"> </w:t>
                      </w:r>
                      <w:proofErr w:type="spellStart"/>
                      <w:r w:rsidRPr="005B732B">
                        <w:rPr>
                          <w:i/>
                          <w:iCs/>
                          <w:sz w:val="19"/>
                          <w:szCs w:val="19"/>
                        </w:rPr>
                        <w:t>Mindano</w:t>
                      </w:r>
                      <w:proofErr w:type="spellEnd"/>
                      <w:r w:rsidRPr="005B732B">
                        <w:rPr>
                          <w:i/>
                          <w:iCs/>
                          <w:sz w:val="19"/>
                          <w:szCs w:val="19"/>
                        </w:rPr>
                        <w:t xml:space="preserve"> Training of Trainers.</w:t>
                      </w:r>
                      <w:proofErr w:type="gramEnd"/>
                      <w:r w:rsidRPr="005B732B">
                        <w:rPr>
                          <w:i/>
                          <w:iCs/>
                          <w:sz w:val="19"/>
                          <w:szCs w:val="19"/>
                        </w:rPr>
                        <w:t xml:space="preserve"> Photo by Peace Corps/Philippines</w:t>
                      </w:r>
                    </w:p>
                    <w:p w14:paraId="070106FD" w14:textId="77777777" w:rsidR="00A11C0A" w:rsidRDefault="00A11C0A"/>
                  </w:txbxContent>
                </v:textbox>
              </v:shape>
            </w:pict>
          </mc:Fallback>
        </mc:AlternateContent>
      </w:r>
      <w:r w:rsidR="00EA1DBD">
        <w:rPr>
          <w:noProof/>
        </w:rPr>
        <mc:AlternateContent>
          <mc:Choice Requires="wps">
            <w:drawing>
              <wp:anchor distT="0" distB="0" distL="114300" distR="114300" simplePos="0" relativeHeight="251663360" behindDoc="0" locked="0" layoutInCell="1" allowOverlap="1" wp14:anchorId="28FC491B" wp14:editId="2110E73D">
                <wp:simplePos x="0" y="0"/>
                <wp:positionH relativeFrom="column">
                  <wp:posOffset>-2428875</wp:posOffset>
                </wp:positionH>
                <wp:positionV relativeFrom="paragraph">
                  <wp:posOffset>1409700</wp:posOffset>
                </wp:positionV>
                <wp:extent cx="1972310" cy="2638425"/>
                <wp:effectExtent l="0" t="0" r="8890" b="9525"/>
                <wp:wrapSquare wrapText="bothSides"/>
                <wp:docPr id="6" name="Text Box 6"/>
                <wp:cNvGraphicFramePr/>
                <a:graphic xmlns:a="http://schemas.openxmlformats.org/drawingml/2006/main">
                  <a:graphicData uri="http://schemas.microsoft.com/office/word/2010/wordprocessingShape">
                    <wps:wsp>
                      <wps:cNvSpPr txBox="1"/>
                      <wps:spPr>
                        <a:xfrm>
                          <a:off x="0" y="0"/>
                          <a:ext cx="1972310" cy="2638425"/>
                        </a:xfrm>
                        <a:prstGeom prst="rect">
                          <a:avLst/>
                        </a:prstGeom>
                        <a:solidFill>
                          <a:srgbClr val="0071BC"/>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FFB52" w14:textId="185810A9" w:rsidR="00A11C0A" w:rsidRPr="00C54E2E" w:rsidRDefault="003C283A" w:rsidP="00037E76">
                            <w:pPr>
                              <w:pStyle w:val="Boxtext"/>
                              <w:rPr>
                                <w:sz w:val="28"/>
                                <w:szCs w:val="28"/>
                              </w:rPr>
                            </w:pPr>
                            <w:r w:rsidRPr="00C54E2E">
                              <w:rPr>
                                <w:rFonts w:hint="eastAsia"/>
                                <w:sz w:val="28"/>
                                <w:szCs w:val="28"/>
                              </w:rPr>
                              <w:t>Countrie</w:t>
                            </w:r>
                            <w:r w:rsidRPr="00C54E2E">
                              <w:rPr>
                                <w:sz w:val="28"/>
                                <w:szCs w:val="28"/>
                              </w:rPr>
                              <w:t>s: 64</w:t>
                            </w:r>
                          </w:p>
                          <w:p w14:paraId="5C99EE4E" w14:textId="3223E927" w:rsidR="003C283A" w:rsidRPr="00C54E2E" w:rsidRDefault="003C283A" w:rsidP="00037E76">
                            <w:pPr>
                              <w:pStyle w:val="Boxtext"/>
                              <w:rPr>
                                <w:sz w:val="28"/>
                                <w:szCs w:val="28"/>
                              </w:rPr>
                            </w:pPr>
                            <w:r w:rsidRPr="00C54E2E">
                              <w:rPr>
                                <w:sz w:val="28"/>
                                <w:szCs w:val="28"/>
                              </w:rPr>
                              <w:t>Activities: 33,219</w:t>
                            </w:r>
                          </w:p>
                          <w:p w14:paraId="7C09632F" w14:textId="15713B4B" w:rsidR="00A11C0A" w:rsidRPr="00C54E2E" w:rsidRDefault="00A11C0A" w:rsidP="00037E76">
                            <w:pPr>
                              <w:pStyle w:val="Boxtext"/>
                              <w:rPr>
                                <w:sz w:val="28"/>
                                <w:szCs w:val="28"/>
                              </w:rPr>
                            </w:pPr>
                            <w:r w:rsidRPr="00C54E2E">
                              <w:rPr>
                                <w:sz w:val="28"/>
                                <w:szCs w:val="28"/>
                              </w:rPr>
                              <w:t>Children and youth</w:t>
                            </w:r>
                            <w:r w:rsidRPr="00C54E2E">
                              <w:rPr>
                                <w:rFonts w:hint="eastAsia"/>
                                <w:sz w:val="28"/>
                                <w:szCs w:val="28"/>
                              </w:rPr>
                              <w:t xml:space="preserve"> reached</w:t>
                            </w:r>
                            <w:r w:rsidR="00C54E2E">
                              <w:rPr>
                                <w:sz w:val="28"/>
                                <w:szCs w:val="28"/>
                              </w:rPr>
                              <w:t xml:space="preserve"> (</w:t>
                            </w:r>
                            <w:r w:rsidR="00C54E2E" w:rsidRPr="00C54E2E">
                              <w:rPr>
                                <w:sz w:val="28"/>
                                <w:szCs w:val="28"/>
                              </w:rPr>
                              <w:t>FY17</w:t>
                            </w:r>
                            <w:r w:rsidR="00C54E2E">
                              <w:rPr>
                                <w:sz w:val="28"/>
                                <w:szCs w:val="28"/>
                              </w:rPr>
                              <w:t>)</w:t>
                            </w:r>
                            <w:r w:rsidRPr="00C54E2E">
                              <w:rPr>
                                <w:rFonts w:hint="eastAsia"/>
                                <w:sz w:val="28"/>
                                <w:szCs w:val="28"/>
                              </w:rPr>
                              <w:t>: 400,000</w:t>
                            </w:r>
                          </w:p>
                          <w:p w14:paraId="0F2EFF95" w14:textId="77F7074A" w:rsidR="00A11C0A" w:rsidRPr="00C54E2E" w:rsidRDefault="00A11C0A" w:rsidP="00037E76">
                            <w:pPr>
                              <w:pStyle w:val="Boxtext"/>
                              <w:rPr>
                                <w:sz w:val="28"/>
                                <w:szCs w:val="28"/>
                              </w:rPr>
                            </w:pPr>
                            <w:r w:rsidRPr="00C54E2E">
                              <w:rPr>
                                <w:rFonts w:hint="eastAsia"/>
                                <w:sz w:val="28"/>
                                <w:szCs w:val="28"/>
                              </w:rPr>
                              <w:t xml:space="preserve">Funding level: </w:t>
                            </w:r>
                            <w:r w:rsidRPr="00C54E2E">
                              <w:rPr>
                                <w:sz w:val="28"/>
                                <w:szCs w:val="28"/>
                              </w:rPr>
                              <w:br/>
                            </w:r>
                            <w:r w:rsidRPr="00C54E2E">
                              <w:rPr>
                                <w:rFonts w:hint="eastAsia"/>
                                <w:sz w:val="28"/>
                                <w:szCs w:val="28"/>
                              </w:rPr>
                              <w:t>$6.3 million</w:t>
                            </w:r>
                          </w:p>
                          <w:p w14:paraId="49528BAC" w14:textId="190FB433" w:rsidR="00A11C0A" w:rsidRPr="00C54E2E" w:rsidRDefault="00A11C0A" w:rsidP="00037E76">
                            <w:pPr>
                              <w:pStyle w:val="Boxtext"/>
                              <w:rPr>
                                <w:sz w:val="28"/>
                                <w:szCs w:val="28"/>
                              </w:rPr>
                            </w:pPr>
                            <w:r w:rsidRPr="00C54E2E">
                              <w:rPr>
                                <w:rFonts w:hint="eastAsia"/>
                                <w:sz w:val="28"/>
                                <w:szCs w:val="28"/>
                              </w:rPr>
                              <w:t>Years of operation: 2010-2019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191.25pt;margin-top:111pt;width:155.3pt;height:20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" fillcolor="#0071bc" stroked="f">
                <v:textbox>
                  <w:txbxContent>
                    <w:p w14:paraId="6D6FFB52" w14:textId="185810A9" w:rsidR="00A11C0A" w:rsidRPr="00C54E2E" w:rsidRDefault="003C283A" w:rsidP="00037E76">
                      <w:pPr>
                        <w:pStyle w:val="Boxtext"/>
                        <w:rPr>
                          <w:sz w:val="28"/>
                          <w:szCs w:val="28"/>
                        </w:rPr>
                      </w:pPr>
                      <w:r w:rsidRPr="00C54E2E">
                        <w:rPr>
                          <w:rFonts w:hint="eastAsia"/>
                          <w:sz w:val="28"/>
                          <w:szCs w:val="28"/>
                        </w:rPr>
                        <w:t>Countrie</w:t>
                      </w:r>
                      <w:r w:rsidRPr="00C54E2E">
                        <w:rPr>
                          <w:sz w:val="28"/>
                          <w:szCs w:val="28"/>
                        </w:rPr>
                        <w:t>s: 64</w:t>
                      </w:r>
                    </w:p>
                    <w:p w14:paraId="5C99EE4E" w14:textId="3223E927" w:rsidR="003C283A" w:rsidRPr="00C54E2E" w:rsidRDefault="003C283A" w:rsidP="00037E76">
                      <w:pPr>
                        <w:pStyle w:val="Boxtext"/>
                        <w:rPr>
                          <w:sz w:val="28"/>
                          <w:szCs w:val="28"/>
                        </w:rPr>
                      </w:pPr>
                      <w:r w:rsidRPr="00C54E2E">
                        <w:rPr>
                          <w:sz w:val="28"/>
                          <w:szCs w:val="28"/>
                        </w:rPr>
                        <w:t>Activities: 33,219</w:t>
                      </w:r>
                    </w:p>
                    <w:p w14:paraId="7C09632F" w14:textId="15713B4B" w:rsidR="00A11C0A" w:rsidRPr="00C54E2E" w:rsidRDefault="00A11C0A" w:rsidP="00037E76">
                      <w:pPr>
                        <w:pStyle w:val="Boxtext"/>
                        <w:rPr>
                          <w:sz w:val="28"/>
                          <w:szCs w:val="28"/>
                        </w:rPr>
                      </w:pPr>
                      <w:r w:rsidRPr="00C54E2E">
                        <w:rPr>
                          <w:sz w:val="28"/>
                          <w:szCs w:val="28"/>
                        </w:rPr>
                        <w:t>Children and youth</w:t>
                      </w:r>
                      <w:r w:rsidRPr="00C54E2E">
                        <w:rPr>
                          <w:rFonts w:hint="eastAsia"/>
                          <w:sz w:val="28"/>
                          <w:szCs w:val="28"/>
                        </w:rPr>
                        <w:t xml:space="preserve"> reached</w:t>
                      </w:r>
                      <w:r w:rsidR="00C54E2E">
                        <w:rPr>
                          <w:sz w:val="28"/>
                          <w:szCs w:val="28"/>
                        </w:rPr>
                        <w:t xml:space="preserve"> (</w:t>
                      </w:r>
                      <w:r w:rsidR="00C54E2E" w:rsidRPr="00C54E2E">
                        <w:rPr>
                          <w:sz w:val="28"/>
                          <w:szCs w:val="28"/>
                        </w:rPr>
                        <w:t>FY17</w:t>
                      </w:r>
                      <w:r w:rsidR="00C54E2E">
                        <w:rPr>
                          <w:sz w:val="28"/>
                          <w:szCs w:val="28"/>
                        </w:rPr>
                        <w:t>)</w:t>
                      </w:r>
                      <w:r w:rsidRPr="00C54E2E">
                        <w:rPr>
                          <w:rFonts w:hint="eastAsia"/>
                          <w:sz w:val="28"/>
                          <w:szCs w:val="28"/>
                        </w:rPr>
                        <w:t>: 400,000</w:t>
                      </w:r>
                    </w:p>
                    <w:p w14:paraId="0F2EFF95" w14:textId="77F7074A" w:rsidR="00A11C0A" w:rsidRPr="00C54E2E" w:rsidRDefault="00A11C0A" w:rsidP="00037E76">
                      <w:pPr>
                        <w:pStyle w:val="Boxtext"/>
                        <w:rPr>
                          <w:sz w:val="28"/>
                          <w:szCs w:val="28"/>
                        </w:rPr>
                      </w:pPr>
                      <w:r w:rsidRPr="00C54E2E">
                        <w:rPr>
                          <w:rFonts w:hint="eastAsia"/>
                          <w:sz w:val="28"/>
                          <w:szCs w:val="28"/>
                        </w:rPr>
                        <w:t xml:space="preserve">Funding level: </w:t>
                      </w:r>
                      <w:r w:rsidRPr="00C54E2E">
                        <w:rPr>
                          <w:sz w:val="28"/>
                          <w:szCs w:val="28"/>
                        </w:rPr>
                        <w:br/>
                      </w:r>
                      <w:r w:rsidRPr="00C54E2E">
                        <w:rPr>
                          <w:rFonts w:hint="eastAsia"/>
                          <w:sz w:val="28"/>
                          <w:szCs w:val="28"/>
                        </w:rPr>
                        <w:t>$6.3 million</w:t>
                      </w:r>
                    </w:p>
                    <w:p w14:paraId="49528BAC" w14:textId="190FB433" w:rsidR="00A11C0A" w:rsidRPr="00C54E2E" w:rsidRDefault="00A11C0A" w:rsidP="00037E76">
                      <w:pPr>
                        <w:pStyle w:val="Boxtext"/>
                        <w:rPr>
                          <w:sz w:val="28"/>
                          <w:szCs w:val="28"/>
                        </w:rPr>
                      </w:pPr>
                      <w:r w:rsidRPr="00C54E2E">
                        <w:rPr>
                          <w:rFonts w:hint="eastAsia"/>
                          <w:sz w:val="28"/>
                          <w:szCs w:val="28"/>
                        </w:rPr>
                        <w:t>Years of operation: 2010-2019</w:t>
                      </w:r>
                    </w:p>
                  </w:txbxContent>
                </v:textbox>
                <w10:wrap type="square"/>
              </v:shape>
            </w:pict>
          </mc:Fallback>
        </mc:AlternateContent>
      </w:r>
      <w:r w:rsidR="00D848BE">
        <w:rPr>
          <w:noProof/>
        </w:rPr>
        <w:drawing>
          <wp:anchor distT="0" distB="0" distL="114300" distR="114300" simplePos="0" relativeHeight="251658240" behindDoc="0" locked="0" layoutInCell="1" allowOverlap="1" wp14:anchorId="03348FF9" wp14:editId="1283F3F0">
            <wp:simplePos x="0" y="0"/>
            <wp:positionH relativeFrom="column">
              <wp:posOffset>-3354070</wp:posOffset>
            </wp:positionH>
            <wp:positionV relativeFrom="paragraph">
              <wp:posOffset>-3251835</wp:posOffset>
            </wp:positionV>
            <wp:extent cx="8095615" cy="4109720"/>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pines_E2E2-4.jpg"/>
                    <pic:cNvPicPr/>
                  </pic:nvPicPr>
                  <pic:blipFill rotWithShape="1">
                    <a:blip r:embed="rId5">
                      <a:extLst>
                        <a:ext uri="{28A0092B-C50C-407E-A947-70E740481C1C}">
                          <a14:useLocalDpi xmlns:a14="http://schemas.microsoft.com/office/drawing/2010/main" val="0"/>
                        </a:ext>
                      </a:extLst>
                    </a:blip>
                    <a:srcRect t="13514" b="10334"/>
                    <a:stretch/>
                  </pic:blipFill>
                  <pic:spPr bwMode="auto">
                    <a:xfrm>
                      <a:off x="0" y="0"/>
                      <a:ext cx="8095615" cy="4109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57B5">
        <w:t>Global Education Framework</w:t>
      </w:r>
    </w:p>
    <w:p w14:paraId="72512980" w14:textId="047CDA45" w:rsidR="00EA1DBD" w:rsidRPr="003C283A" w:rsidRDefault="00EA1DBD" w:rsidP="003C283A">
      <w:pPr>
        <w:spacing w:after="200"/>
        <w:ind w:right="-180"/>
        <w:rPr>
          <w:sz w:val="21"/>
          <w:szCs w:val="21"/>
        </w:rPr>
      </w:pPr>
      <w:r w:rsidRPr="003C283A">
        <w:rPr>
          <w:noProof/>
          <w:sz w:val="21"/>
          <w:szCs w:val="21"/>
        </w:rPr>
        <w:drawing>
          <wp:anchor distT="0" distB="0" distL="114300" distR="114300" simplePos="0" relativeHeight="251661312" behindDoc="0" locked="0" layoutInCell="1" allowOverlap="1" wp14:anchorId="062EB675" wp14:editId="40164B33">
            <wp:simplePos x="0" y="0"/>
            <wp:positionH relativeFrom="column">
              <wp:posOffset>-1944370</wp:posOffset>
            </wp:positionH>
            <wp:positionV relativeFrom="paragraph">
              <wp:posOffset>2614295</wp:posOffset>
            </wp:positionV>
            <wp:extent cx="821690" cy="82169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83A">
        <w:rPr>
          <w:noProof/>
          <w:sz w:val="21"/>
          <w:szCs w:val="21"/>
        </w:rPr>
        <w:drawing>
          <wp:anchor distT="0" distB="0" distL="114300" distR="114300" simplePos="0" relativeHeight="251660288" behindDoc="0" locked="0" layoutInCell="1" allowOverlap="1" wp14:anchorId="6B3205AB" wp14:editId="65CE8D79">
            <wp:simplePos x="0" y="0"/>
            <wp:positionH relativeFrom="column">
              <wp:posOffset>-2743200</wp:posOffset>
            </wp:positionH>
            <wp:positionV relativeFrom="paragraph">
              <wp:posOffset>3498215</wp:posOffset>
            </wp:positionV>
            <wp:extent cx="2404110" cy="924560"/>
            <wp:effectExtent l="0" t="0" r="889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411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7B5" w:rsidRPr="003C283A">
        <w:rPr>
          <w:sz w:val="21"/>
          <w:szCs w:val="21"/>
        </w:rPr>
        <w:t xml:space="preserve">In 2010, the Peace Corps and the U.S. Agency for International Development (USAID) signed the Global Education Framework (GEF) agreement to encourage collaboration and leverage Peace Corps Volunteers’ </w:t>
      </w:r>
      <w:proofErr w:type="gramStart"/>
      <w:r w:rsidR="002057B5" w:rsidRPr="003C283A">
        <w:rPr>
          <w:sz w:val="21"/>
          <w:szCs w:val="21"/>
        </w:rPr>
        <w:t>grassroots,</w:t>
      </w:r>
      <w:proofErr w:type="gramEnd"/>
      <w:r w:rsidR="002057B5" w:rsidRPr="003C283A">
        <w:rPr>
          <w:sz w:val="21"/>
          <w:szCs w:val="21"/>
        </w:rPr>
        <w:t xml:space="preserve"> community-level efforts to implement activities aligned with host country and U.S. Government education priorities. Centrally funded activities fell under two programming areas. Student-friendly schools focused on building a sense of agency for boys and girls, and learning environments where they feel emotionally and physically safe and are able to thrive. Literacy supported a literacy specialist, development of a comprehensive literacy strategy, community-based early-grade reading approaches, and a range of tools and materials to support those approaches.</w:t>
      </w:r>
      <w:r w:rsidRPr="003C283A">
        <w:rPr>
          <w:sz w:val="21"/>
          <w:szCs w:val="21"/>
        </w:rPr>
        <w:t xml:space="preserve"> The GEF also supported a number of country-level initiatives. USAID Missions in Uganda, the Philippines, and Mozambique bought into the agreement to fund discrete activities in support of improved educational outcomes.</w:t>
      </w:r>
    </w:p>
    <w:p w14:paraId="053A790A" w14:textId="09D3EADE" w:rsidR="00D848BE" w:rsidRPr="003C283A" w:rsidRDefault="002057B5" w:rsidP="003C283A">
      <w:pPr>
        <w:spacing w:after="200"/>
        <w:ind w:right="-180"/>
        <w:rPr>
          <w:sz w:val="21"/>
          <w:szCs w:val="21"/>
        </w:rPr>
      </w:pPr>
      <w:r w:rsidRPr="003C283A">
        <w:rPr>
          <w:sz w:val="21"/>
          <w:szCs w:val="21"/>
        </w:rPr>
        <w:t xml:space="preserve">The $6.3 million provided to the Peace Corps supported projects in 64 countries. More than 2,000 staff, teachers, administrators, headmasters, and Peace Corps Volunteers (PCVs) were directly reached in 58 trainings – and a much larger number benefitted indirectly through a multiplier effect. </w:t>
      </w:r>
      <w:r w:rsidR="003C283A">
        <w:rPr>
          <w:sz w:val="21"/>
          <w:szCs w:val="21"/>
        </w:rPr>
        <w:t>In</w:t>
      </w:r>
      <w:r w:rsidRPr="003C283A">
        <w:rPr>
          <w:sz w:val="21"/>
          <w:szCs w:val="21"/>
        </w:rPr>
        <w:t xml:space="preserve"> FY17</w:t>
      </w:r>
      <w:r w:rsidR="003C283A">
        <w:rPr>
          <w:sz w:val="21"/>
          <w:szCs w:val="21"/>
        </w:rPr>
        <w:t xml:space="preserve"> alone</w:t>
      </w:r>
      <w:r w:rsidRPr="003C283A">
        <w:rPr>
          <w:sz w:val="21"/>
          <w:szCs w:val="21"/>
        </w:rPr>
        <w:t xml:space="preserve">, PCVs reported 7,500 school-based GEF activities, including training on gender-equitable teaching practices and mentoring, reaching more than 400,000 children and youth ages 10-24. </w:t>
      </w:r>
    </w:p>
    <w:p w14:paraId="2F421740" w14:textId="77777777" w:rsidR="00D848BE" w:rsidRDefault="00D848BE" w:rsidP="00EA1DBD">
      <w:pPr>
        <w:spacing w:after="200"/>
        <w:sectPr w:rsidR="00D848BE" w:rsidSect="003C283A">
          <w:pgSz w:w="12240" w:h="15840"/>
          <w:pgMar w:top="5040" w:right="1440" w:bottom="720" w:left="4320" w:header="720" w:footer="720" w:gutter="0"/>
          <w:cols w:space="720"/>
        </w:sectPr>
      </w:pPr>
    </w:p>
    <w:p w14:paraId="1582C8F2" w14:textId="5A7F7745" w:rsidR="00F7504F" w:rsidRPr="003C283A" w:rsidRDefault="00EA1DBD" w:rsidP="00EA1DBD">
      <w:pPr>
        <w:spacing w:after="200"/>
        <w:rPr>
          <w:sz w:val="21"/>
          <w:szCs w:val="21"/>
        </w:rPr>
      </w:pPr>
      <w:r w:rsidRPr="003C283A">
        <w:rPr>
          <w:noProof/>
          <w:sz w:val="21"/>
          <w:szCs w:val="21"/>
        </w:rPr>
        <w:lastRenderedPageBreak/>
        <w:drawing>
          <wp:anchor distT="0" distB="0" distL="114300" distR="114300" simplePos="0" relativeHeight="251659264" behindDoc="0" locked="0" layoutInCell="1" allowOverlap="1" wp14:anchorId="71F2B791" wp14:editId="3EFEF13B">
            <wp:simplePos x="0" y="0"/>
            <wp:positionH relativeFrom="column">
              <wp:posOffset>-695960</wp:posOffset>
            </wp:positionH>
            <wp:positionV relativeFrom="paragraph">
              <wp:posOffset>-2743200</wp:posOffset>
            </wp:positionV>
            <wp:extent cx="7371715" cy="2301240"/>
            <wp:effectExtent l="25400" t="25400" r="19685" b="355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PC_GEF_map.eps"/>
                    <pic:cNvPicPr/>
                  </pic:nvPicPr>
                  <pic:blipFill rotWithShape="1">
                    <a:blip r:embed="rId8">
                      <a:extLst>
                        <a:ext uri="{28A0092B-C50C-407E-A947-70E740481C1C}">
                          <a14:useLocalDpi xmlns:a14="http://schemas.microsoft.com/office/drawing/2010/main" val="0"/>
                        </a:ext>
                      </a:extLst>
                    </a:blip>
                    <a:srcRect t="13783" b="23857"/>
                    <a:stretch/>
                  </pic:blipFill>
                  <pic:spPr bwMode="auto">
                    <a:xfrm>
                      <a:off x="0" y="0"/>
                      <a:ext cx="7371715" cy="230124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504F" w:rsidRPr="003C283A">
        <w:rPr>
          <w:noProof/>
          <w:sz w:val="21"/>
          <w:szCs w:val="21"/>
        </w:rPr>
        <mc:AlternateContent>
          <mc:Choice Requires="wps">
            <w:drawing>
              <wp:anchor distT="0" distB="0" distL="114300" distR="114300" simplePos="0" relativeHeight="251662336" behindDoc="0" locked="0" layoutInCell="1" allowOverlap="1" wp14:anchorId="14DDAE22" wp14:editId="67F4D55C">
                <wp:simplePos x="0" y="0"/>
                <wp:positionH relativeFrom="column">
                  <wp:posOffset>-113030</wp:posOffset>
                </wp:positionH>
                <wp:positionV relativeFrom="paragraph">
                  <wp:posOffset>-447040</wp:posOffset>
                </wp:positionV>
                <wp:extent cx="6769100" cy="49212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769100" cy="492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8B7EBB" w14:textId="77777777" w:rsidR="00A11C0A" w:rsidRDefault="00A11C0A" w:rsidP="00F7504F">
                            <w:pPr>
                              <w:pStyle w:val="Figuretitle"/>
                            </w:pPr>
                            <w:r>
                              <w:t>The Global Education Framework partnership (2010-2019) carried out education activities in 64 countries, reaching more than 400,000 people through 33,219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28" type="#_x0000_t202" style="position:absolute;margin-left:-8.85pt;margin-top:-35.15pt;width:533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sLN9ECAAAV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" filled="f" stroked="f">
                <v:textbox>
                  <w:txbxContent>
                    <w:p w14:paraId="4B8B7EBB" w14:textId="77777777" w:rsidR="00A11C0A" w:rsidRDefault="00A11C0A" w:rsidP="00F7504F">
                      <w:pPr>
                        <w:pStyle w:val="Figuretitle"/>
                      </w:pPr>
                      <w:r>
                        <w:t>The Global Education Framework partnership (2010-2019) carried out education activities in 64 countries, reaching more than 400,000 people through 33,219 activities.</w:t>
                      </w:r>
                    </w:p>
                  </w:txbxContent>
                </v:textbox>
                <w10:wrap type="square"/>
              </v:shape>
            </w:pict>
          </mc:Fallback>
        </mc:AlternateContent>
      </w:r>
      <w:r w:rsidR="00F7504F" w:rsidRPr="003C283A">
        <w:rPr>
          <w:sz w:val="21"/>
          <w:szCs w:val="21"/>
        </w:rPr>
        <w:t>GEF activities have shown significant</w:t>
      </w:r>
      <w:r w:rsidR="003C283A" w:rsidRPr="003C283A">
        <w:rPr>
          <w:sz w:val="21"/>
          <w:szCs w:val="21"/>
        </w:rPr>
        <w:t xml:space="preserve"> success in the following areas:</w:t>
      </w:r>
    </w:p>
    <w:p w14:paraId="5563A575" w14:textId="12A9DADC" w:rsidR="00F7504F" w:rsidRPr="003C283A" w:rsidRDefault="00F7504F" w:rsidP="00EA1DBD">
      <w:pPr>
        <w:spacing w:after="200"/>
        <w:rPr>
          <w:sz w:val="21"/>
          <w:szCs w:val="21"/>
        </w:rPr>
      </w:pPr>
      <w:r w:rsidRPr="003C283A">
        <w:rPr>
          <w:b/>
          <w:bCs/>
          <w:color w:val="0071BC"/>
          <w:sz w:val="21"/>
          <w:szCs w:val="21"/>
        </w:rPr>
        <w:t>Developing capacity:</w:t>
      </w:r>
      <w:r w:rsidRPr="003C283A">
        <w:rPr>
          <w:sz w:val="21"/>
          <w:szCs w:val="21"/>
        </w:rPr>
        <w:t xml:space="preserve"> The most tangible impact has been the development of staff and counterpart capacity related to promoting positive gender norms and safe, student-friendly environments. Many highlight greater comfort engaging colleagues around gender inequity</w:t>
      </w:r>
      <w:r w:rsidR="001037F1" w:rsidRPr="003C283A">
        <w:rPr>
          <w:sz w:val="21"/>
          <w:szCs w:val="21"/>
        </w:rPr>
        <w:t xml:space="preserve"> and gender-based violence</w:t>
      </w:r>
      <w:r w:rsidRPr="003C283A">
        <w:rPr>
          <w:sz w:val="21"/>
          <w:szCs w:val="21"/>
        </w:rPr>
        <w:t>, and energizing around improved school cultures.</w:t>
      </w:r>
    </w:p>
    <w:p w14:paraId="5F139645" w14:textId="7D15FD6E" w:rsidR="001037F1" w:rsidRPr="003C283A" w:rsidRDefault="001037F1" w:rsidP="00EA1DBD">
      <w:pPr>
        <w:spacing w:after="200"/>
        <w:rPr>
          <w:sz w:val="21"/>
          <w:szCs w:val="21"/>
        </w:rPr>
      </w:pPr>
      <w:r w:rsidRPr="003C283A">
        <w:rPr>
          <w:sz w:val="21"/>
          <w:szCs w:val="21"/>
        </w:rPr>
        <w:t xml:space="preserve">A </w:t>
      </w:r>
      <w:r w:rsidRPr="003C283A">
        <w:rPr>
          <w:b/>
          <w:sz w:val="21"/>
          <w:szCs w:val="21"/>
        </w:rPr>
        <w:t>Mexican</w:t>
      </w:r>
      <w:r w:rsidRPr="003C283A">
        <w:rPr>
          <w:sz w:val="21"/>
          <w:szCs w:val="21"/>
        </w:rPr>
        <w:t xml:space="preserve"> participant in one workshop said that, “I gained the sense that we were all working toward a larger picture and pushed each other, because through the workshop I have been able to establish relationships with and learn from colleagues from the region.” </w:t>
      </w:r>
    </w:p>
    <w:p w14:paraId="6ACF6686" w14:textId="77777777" w:rsidR="00F7504F" w:rsidRPr="003C283A" w:rsidRDefault="00F7504F" w:rsidP="00EA1DBD">
      <w:pPr>
        <w:spacing w:after="200"/>
        <w:rPr>
          <w:sz w:val="21"/>
          <w:szCs w:val="21"/>
        </w:rPr>
      </w:pPr>
      <w:r w:rsidRPr="003C283A">
        <w:rPr>
          <w:b/>
          <w:bCs/>
          <w:color w:val="0071BC"/>
          <w:sz w:val="21"/>
          <w:szCs w:val="21"/>
        </w:rPr>
        <w:t>Local ownership, leadership, and adaptation:</w:t>
      </w:r>
      <w:r w:rsidRPr="003C283A">
        <w:rPr>
          <w:b/>
          <w:bCs/>
          <w:sz w:val="21"/>
          <w:szCs w:val="21"/>
        </w:rPr>
        <w:t xml:space="preserve"> </w:t>
      </w:r>
      <w:r w:rsidRPr="003C283A">
        <w:rPr>
          <w:sz w:val="21"/>
          <w:szCs w:val="21"/>
        </w:rPr>
        <w:t>The development of capacity has galvanized local ownership and leadership. Activities have catalyzed a range of follow-on, community-level efforts, where headmasters, teachers, community members, and national ministries have added fresh energy and local resources, ensuring momentum is not lost, approaches continue to be shared, and activities are adapted to reflect community context and priorities.</w:t>
      </w:r>
    </w:p>
    <w:p w14:paraId="4796F78E" w14:textId="1659ED9E" w:rsidR="001037F1" w:rsidRPr="003C283A" w:rsidRDefault="001037F1" w:rsidP="00EA1DBD">
      <w:pPr>
        <w:spacing w:after="200"/>
        <w:rPr>
          <w:sz w:val="21"/>
          <w:szCs w:val="21"/>
        </w:rPr>
      </w:pPr>
      <w:r w:rsidRPr="003C283A">
        <w:rPr>
          <w:sz w:val="21"/>
          <w:szCs w:val="21"/>
        </w:rPr>
        <w:t xml:space="preserve">One </w:t>
      </w:r>
      <w:r w:rsidRPr="003C283A">
        <w:rPr>
          <w:b/>
          <w:sz w:val="21"/>
          <w:szCs w:val="21"/>
        </w:rPr>
        <w:t>Liberian</w:t>
      </w:r>
      <w:r w:rsidRPr="003C283A">
        <w:rPr>
          <w:sz w:val="21"/>
          <w:szCs w:val="21"/>
        </w:rPr>
        <w:t xml:space="preserve"> counterpart noted, “We are beginning to see the potential long-term impact and success of these efforts specifically because of the intentional engagement and leadership of the community.”</w:t>
      </w:r>
    </w:p>
    <w:p w14:paraId="319D0789" w14:textId="77777777" w:rsidR="00F7504F" w:rsidRPr="003C283A" w:rsidRDefault="00F7504F" w:rsidP="00EA1DBD">
      <w:pPr>
        <w:spacing w:after="200"/>
        <w:rPr>
          <w:sz w:val="21"/>
          <w:szCs w:val="21"/>
        </w:rPr>
      </w:pPr>
      <w:r w:rsidRPr="003C283A">
        <w:rPr>
          <w:b/>
          <w:bCs/>
          <w:color w:val="0071BC"/>
          <w:sz w:val="21"/>
          <w:szCs w:val="21"/>
        </w:rPr>
        <w:t>Sustainability and innovation:</w:t>
      </w:r>
      <w:r w:rsidRPr="003C283A">
        <w:rPr>
          <w:b/>
          <w:bCs/>
          <w:sz w:val="21"/>
          <w:szCs w:val="21"/>
        </w:rPr>
        <w:t xml:space="preserve"> </w:t>
      </w:r>
      <w:r w:rsidRPr="003C283A">
        <w:rPr>
          <w:sz w:val="21"/>
          <w:szCs w:val="21"/>
        </w:rPr>
        <w:t>Local leadership supports longer-term, more sustainable school and community-level outcomes. The emphasis on community partnerships that foster innovative, concrete action plans for sharing approaches, and national-level commitments enacted by ministries contributes significantly to positive impact that is sustained well beyond one-off activities.</w:t>
      </w:r>
    </w:p>
    <w:p w14:paraId="0711D296" w14:textId="1C3FD323" w:rsidR="001037F1" w:rsidRPr="003C283A" w:rsidRDefault="001037F1" w:rsidP="00EA1DBD">
      <w:pPr>
        <w:spacing w:after="200"/>
        <w:rPr>
          <w:sz w:val="21"/>
          <w:szCs w:val="21"/>
        </w:rPr>
      </w:pPr>
      <w:r w:rsidRPr="003C283A">
        <w:rPr>
          <w:sz w:val="21"/>
          <w:szCs w:val="21"/>
        </w:rPr>
        <w:t xml:space="preserve">A participant in a workshop in </w:t>
      </w:r>
      <w:r w:rsidRPr="003C283A">
        <w:rPr>
          <w:b/>
          <w:sz w:val="21"/>
          <w:szCs w:val="21"/>
        </w:rPr>
        <w:t>Burkina Faso</w:t>
      </w:r>
      <w:r w:rsidRPr="003C283A">
        <w:rPr>
          <w:sz w:val="21"/>
          <w:szCs w:val="21"/>
        </w:rPr>
        <w:t xml:space="preserve"> noted, “We act as agents of change in our communities by advocating, preventing, and responding adequately to gender-based violence and working to ensure a safer environment for students and the whole community.”</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08"/>
      </w:tblGrid>
      <w:tr w:rsidR="003C283A" w:rsidRPr="003C283A" w14:paraId="0659FBD1" w14:textId="77777777" w:rsidTr="00A72F85">
        <w:trPr>
          <w:trHeight w:val="336"/>
        </w:trPr>
        <w:tc>
          <w:tcPr>
            <w:tcW w:w="4968" w:type="dxa"/>
          </w:tcPr>
          <w:p w14:paraId="3460FEDC" w14:textId="025EF1F3" w:rsidR="003C283A" w:rsidRPr="003C283A" w:rsidRDefault="003C283A" w:rsidP="003C283A">
            <w:pPr>
              <w:spacing w:after="0"/>
              <w:rPr>
                <w:b/>
                <w:sz w:val="21"/>
                <w:szCs w:val="21"/>
              </w:rPr>
            </w:pPr>
            <w:r w:rsidRPr="003C283A">
              <w:rPr>
                <w:b/>
                <w:sz w:val="21"/>
                <w:szCs w:val="21"/>
              </w:rPr>
              <w:t>For more information, contact:</w:t>
            </w:r>
          </w:p>
        </w:tc>
        <w:tc>
          <w:tcPr>
            <w:tcW w:w="4608" w:type="dxa"/>
          </w:tcPr>
          <w:p w14:paraId="081E1D62" w14:textId="77777777" w:rsidR="003C283A" w:rsidRPr="003C283A" w:rsidRDefault="003C283A" w:rsidP="003C283A">
            <w:pPr>
              <w:spacing w:after="0"/>
              <w:rPr>
                <w:sz w:val="21"/>
                <w:szCs w:val="21"/>
              </w:rPr>
            </w:pPr>
          </w:p>
        </w:tc>
      </w:tr>
      <w:tr w:rsidR="003C283A" w:rsidRPr="003C283A" w14:paraId="6F744292" w14:textId="77777777" w:rsidTr="00A72F85">
        <w:trPr>
          <w:trHeight w:val="1138"/>
        </w:trPr>
        <w:tc>
          <w:tcPr>
            <w:tcW w:w="4968" w:type="dxa"/>
          </w:tcPr>
          <w:p w14:paraId="451E31C7" w14:textId="02513B67" w:rsidR="003C283A" w:rsidRPr="003C283A" w:rsidRDefault="003C283A" w:rsidP="003C283A">
            <w:pPr>
              <w:spacing w:after="0"/>
              <w:rPr>
                <w:sz w:val="21"/>
                <w:szCs w:val="21"/>
              </w:rPr>
            </w:pPr>
            <w:r w:rsidRPr="003C283A">
              <w:rPr>
                <w:b/>
                <w:sz w:val="21"/>
                <w:szCs w:val="21"/>
              </w:rPr>
              <w:t>USAID</w:t>
            </w:r>
            <w:r w:rsidRPr="003C283A">
              <w:rPr>
                <w:sz w:val="21"/>
                <w:szCs w:val="21"/>
              </w:rPr>
              <w:t xml:space="preserve"> </w:t>
            </w:r>
            <w:r w:rsidRPr="003C283A">
              <w:rPr>
                <w:sz w:val="21"/>
                <w:szCs w:val="21"/>
              </w:rPr>
              <w:br/>
              <w:t xml:space="preserve">Laura </w:t>
            </w:r>
            <w:proofErr w:type="spellStart"/>
            <w:r w:rsidRPr="003C283A">
              <w:rPr>
                <w:sz w:val="21"/>
                <w:szCs w:val="21"/>
              </w:rPr>
              <w:t>Lartigue</w:t>
            </w:r>
            <w:proofErr w:type="spellEnd"/>
            <w:r w:rsidRPr="003C283A">
              <w:rPr>
                <w:sz w:val="21"/>
                <w:szCs w:val="21"/>
              </w:rPr>
              <w:br/>
              <w:t>Agreement Officer Representative (E3/ED) </w:t>
            </w:r>
            <w:r w:rsidRPr="003C283A">
              <w:rPr>
                <w:sz w:val="21"/>
                <w:szCs w:val="21"/>
              </w:rPr>
              <w:br/>
              <w:t>llartigue@usaid.gov</w:t>
            </w:r>
          </w:p>
        </w:tc>
        <w:tc>
          <w:tcPr>
            <w:tcW w:w="4608" w:type="dxa"/>
          </w:tcPr>
          <w:p w14:paraId="3268899E" w14:textId="7908ABEF" w:rsidR="003C283A" w:rsidRPr="003C283A" w:rsidRDefault="003C283A" w:rsidP="003C283A">
            <w:pPr>
              <w:spacing w:after="0"/>
              <w:rPr>
                <w:sz w:val="21"/>
                <w:szCs w:val="21"/>
              </w:rPr>
            </w:pPr>
            <w:r w:rsidRPr="003C283A">
              <w:rPr>
                <w:b/>
                <w:sz w:val="21"/>
                <w:szCs w:val="21"/>
              </w:rPr>
              <w:t>Peace Corps</w:t>
            </w:r>
            <w:r w:rsidRPr="003C283A">
              <w:rPr>
                <w:sz w:val="21"/>
                <w:szCs w:val="21"/>
              </w:rPr>
              <w:br/>
              <w:t xml:space="preserve">Dominica Martin </w:t>
            </w:r>
            <w:r w:rsidRPr="003C283A">
              <w:rPr>
                <w:sz w:val="21"/>
                <w:szCs w:val="21"/>
              </w:rPr>
              <w:br/>
              <w:t>Partnerships Program Specialist</w:t>
            </w:r>
            <w:r w:rsidRPr="003C283A">
              <w:rPr>
                <w:sz w:val="21"/>
                <w:szCs w:val="21"/>
              </w:rPr>
              <w:br/>
              <w:t>dmartin@peacecorps.gov</w:t>
            </w:r>
            <w:bookmarkStart w:id="0" w:name="_GoBack"/>
            <w:bookmarkEnd w:id="0"/>
          </w:p>
        </w:tc>
      </w:tr>
    </w:tbl>
    <w:p w14:paraId="6BACC766" w14:textId="1EF0439F" w:rsidR="00A11C0A" w:rsidRDefault="00A11C0A" w:rsidP="00A11C0A">
      <w:pPr>
        <w:spacing w:after="120"/>
        <w:rPr>
          <w:sz w:val="22"/>
          <w:szCs w:val="22"/>
        </w:rPr>
        <w:sectPr w:rsidR="00A11C0A" w:rsidSect="003C283A">
          <w:pgSz w:w="12240" w:h="15840"/>
          <w:pgMar w:top="5040" w:right="1440" w:bottom="1008" w:left="1440" w:header="720" w:footer="720" w:gutter="0"/>
          <w:cols w:space="720"/>
        </w:sectPr>
      </w:pPr>
    </w:p>
    <w:p w14:paraId="103914BC" w14:textId="77777777" w:rsidR="003C283A" w:rsidRPr="00EA1DBD" w:rsidRDefault="003C283A">
      <w:pPr>
        <w:spacing w:after="200"/>
        <w:rPr>
          <w:sz w:val="22"/>
          <w:szCs w:val="22"/>
        </w:rPr>
      </w:pPr>
    </w:p>
    <w:sectPr w:rsidR="003C283A" w:rsidRPr="00EA1DBD" w:rsidSect="003C283A">
      <w:type w:val="continuous"/>
      <w:pgSz w:w="12240" w:h="15840"/>
      <w:pgMar w:top="5040" w:right="1440" w:bottom="5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illSans-Italic">
    <w:altName w:val="Gill San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BE"/>
    <w:rsid w:val="00037E76"/>
    <w:rsid w:val="001013F0"/>
    <w:rsid w:val="001037F1"/>
    <w:rsid w:val="002057B5"/>
    <w:rsid w:val="003C283A"/>
    <w:rsid w:val="005B3A29"/>
    <w:rsid w:val="005B732B"/>
    <w:rsid w:val="005E4064"/>
    <w:rsid w:val="009256B2"/>
    <w:rsid w:val="00A11C0A"/>
    <w:rsid w:val="00A327D7"/>
    <w:rsid w:val="00A72F85"/>
    <w:rsid w:val="00AB08D8"/>
    <w:rsid w:val="00B66D0B"/>
    <w:rsid w:val="00C54E2E"/>
    <w:rsid w:val="00C74608"/>
    <w:rsid w:val="00D6461B"/>
    <w:rsid w:val="00D64798"/>
    <w:rsid w:val="00D848BE"/>
    <w:rsid w:val="00EA1DBD"/>
    <w:rsid w:val="00EF5759"/>
    <w:rsid w:val="00F75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515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B5"/>
    <w:pPr>
      <w:spacing w:after="160" w:line="276" w:lineRule="auto"/>
    </w:pPr>
    <w:rPr>
      <w:rFonts w:ascii="Gill Sans" w:hAnsi="Gill Sans"/>
      <w:sz w:val="24"/>
      <w:szCs w:val="24"/>
      <w:lang w:eastAsia="en-US"/>
    </w:rPr>
  </w:style>
  <w:style w:type="paragraph" w:styleId="Heading1">
    <w:name w:val="heading 1"/>
    <w:basedOn w:val="Normal"/>
    <w:next w:val="Normal"/>
    <w:link w:val="Heading1Char"/>
    <w:uiPriority w:val="9"/>
    <w:qFormat/>
    <w:rsid w:val="00037E76"/>
    <w:pPr>
      <w:keepNext/>
      <w:keepLines/>
      <w:spacing w:before="480" w:after="240"/>
      <w:outlineLvl w:val="0"/>
    </w:pPr>
    <w:rPr>
      <w:rFonts w:eastAsiaTheme="majorEastAsia" w:cstheme="majorBidi"/>
      <w:b/>
      <w:bCs/>
      <w:color w:val="0071BC"/>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5592"/>
    <w:rPr>
      <w:rFonts w:ascii="Lucida Grande" w:hAnsi="Lucida Grande"/>
      <w:sz w:val="18"/>
      <w:szCs w:val="18"/>
    </w:rPr>
  </w:style>
  <w:style w:type="character" w:customStyle="1" w:styleId="Heading1Char">
    <w:name w:val="Heading 1 Char"/>
    <w:basedOn w:val="DefaultParagraphFont"/>
    <w:link w:val="Heading1"/>
    <w:uiPriority w:val="9"/>
    <w:rsid w:val="00037E76"/>
    <w:rPr>
      <w:rFonts w:ascii="Gill Sans" w:eastAsiaTheme="majorEastAsia" w:hAnsi="Gill Sans" w:cstheme="majorBidi"/>
      <w:b/>
      <w:bCs/>
      <w:color w:val="0071BC"/>
      <w:sz w:val="36"/>
      <w:szCs w:val="32"/>
      <w:lang w:eastAsia="en-US"/>
    </w:rPr>
  </w:style>
  <w:style w:type="paragraph" w:customStyle="1" w:styleId="Figuretitle">
    <w:name w:val="Figure title"/>
    <w:basedOn w:val="Normal"/>
    <w:uiPriority w:val="99"/>
    <w:rsid w:val="00F7504F"/>
    <w:pPr>
      <w:widowControl w:val="0"/>
      <w:suppressAutoHyphens/>
      <w:autoSpaceDE w:val="0"/>
      <w:autoSpaceDN w:val="0"/>
      <w:adjustRightInd w:val="0"/>
      <w:spacing w:after="0" w:line="260" w:lineRule="atLeast"/>
      <w:textAlignment w:val="center"/>
    </w:pPr>
    <w:rPr>
      <w:rFonts w:ascii="GillSans-Italic" w:hAnsi="GillSans-Italic" w:cs="GillSans-Italic"/>
      <w:i/>
      <w:iCs/>
      <w:color w:val="112E51"/>
      <w:sz w:val="22"/>
      <w:szCs w:val="22"/>
      <w:lang w:eastAsia="ja-JP"/>
    </w:rPr>
  </w:style>
  <w:style w:type="paragraph" w:customStyle="1" w:styleId="Boxtext">
    <w:name w:val="Box text"/>
    <w:basedOn w:val="Normal"/>
    <w:qFormat/>
    <w:rsid w:val="00037E76"/>
    <w:rPr>
      <w:b/>
      <w:bCs/>
      <w:color w:val="FFFFFF" w:themeColor="background1"/>
    </w:rPr>
  </w:style>
  <w:style w:type="paragraph" w:styleId="NormalWeb">
    <w:name w:val="Normal (Web)"/>
    <w:basedOn w:val="Normal"/>
    <w:uiPriority w:val="99"/>
    <w:semiHidden/>
    <w:unhideWhenUsed/>
    <w:rsid w:val="00A11C0A"/>
    <w:rPr>
      <w:rFonts w:ascii="Times New Roman" w:hAnsi="Times New Roman"/>
    </w:rPr>
  </w:style>
  <w:style w:type="character" w:styleId="Hyperlink">
    <w:name w:val="Hyperlink"/>
    <w:basedOn w:val="DefaultParagraphFont"/>
    <w:uiPriority w:val="99"/>
    <w:unhideWhenUsed/>
    <w:rsid w:val="00A11C0A"/>
    <w:rPr>
      <w:color w:val="0000FF" w:themeColor="hyperlink"/>
      <w:u w:val="single"/>
    </w:rPr>
  </w:style>
  <w:style w:type="table" w:styleId="TableGrid">
    <w:name w:val="Table Grid"/>
    <w:basedOn w:val="TableNormal"/>
    <w:uiPriority w:val="59"/>
    <w:rsid w:val="003C2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B5"/>
    <w:pPr>
      <w:spacing w:after="160" w:line="276" w:lineRule="auto"/>
    </w:pPr>
    <w:rPr>
      <w:rFonts w:ascii="Gill Sans" w:hAnsi="Gill Sans"/>
      <w:sz w:val="24"/>
      <w:szCs w:val="24"/>
      <w:lang w:eastAsia="en-US"/>
    </w:rPr>
  </w:style>
  <w:style w:type="paragraph" w:styleId="Heading1">
    <w:name w:val="heading 1"/>
    <w:basedOn w:val="Normal"/>
    <w:next w:val="Normal"/>
    <w:link w:val="Heading1Char"/>
    <w:uiPriority w:val="9"/>
    <w:qFormat/>
    <w:rsid w:val="00037E76"/>
    <w:pPr>
      <w:keepNext/>
      <w:keepLines/>
      <w:spacing w:before="480" w:after="240"/>
      <w:outlineLvl w:val="0"/>
    </w:pPr>
    <w:rPr>
      <w:rFonts w:eastAsiaTheme="majorEastAsia" w:cstheme="majorBidi"/>
      <w:b/>
      <w:bCs/>
      <w:color w:val="0071BC"/>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5592"/>
    <w:rPr>
      <w:rFonts w:ascii="Lucida Grande" w:hAnsi="Lucida Grande"/>
      <w:sz w:val="18"/>
      <w:szCs w:val="18"/>
    </w:rPr>
  </w:style>
  <w:style w:type="character" w:customStyle="1" w:styleId="Heading1Char">
    <w:name w:val="Heading 1 Char"/>
    <w:basedOn w:val="DefaultParagraphFont"/>
    <w:link w:val="Heading1"/>
    <w:uiPriority w:val="9"/>
    <w:rsid w:val="00037E76"/>
    <w:rPr>
      <w:rFonts w:ascii="Gill Sans" w:eastAsiaTheme="majorEastAsia" w:hAnsi="Gill Sans" w:cstheme="majorBidi"/>
      <w:b/>
      <w:bCs/>
      <w:color w:val="0071BC"/>
      <w:sz w:val="36"/>
      <w:szCs w:val="32"/>
      <w:lang w:eastAsia="en-US"/>
    </w:rPr>
  </w:style>
  <w:style w:type="paragraph" w:customStyle="1" w:styleId="Figuretitle">
    <w:name w:val="Figure title"/>
    <w:basedOn w:val="Normal"/>
    <w:uiPriority w:val="99"/>
    <w:rsid w:val="00F7504F"/>
    <w:pPr>
      <w:widowControl w:val="0"/>
      <w:suppressAutoHyphens/>
      <w:autoSpaceDE w:val="0"/>
      <w:autoSpaceDN w:val="0"/>
      <w:adjustRightInd w:val="0"/>
      <w:spacing w:after="0" w:line="260" w:lineRule="atLeast"/>
      <w:textAlignment w:val="center"/>
    </w:pPr>
    <w:rPr>
      <w:rFonts w:ascii="GillSans-Italic" w:hAnsi="GillSans-Italic" w:cs="GillSans-Italic"/>
      <w:i/>
      <w:iCs/>
      <w:color w:val="112E51"/>
      <w:sz w:val="22"/>
      <w:szCs w:val="22"/>
      <w:lang w:eastAsia="ja-JP"/>
    </w:rPr>
  </w:style>
  <w:style w:type="paragraph" w:customStyle="1" w:styleId="Boxtext">
    <w:name w:val="Box text"/>
    <w:basedOn w:val="Normal"/>
    <w:qFormat/>
    <w:rsid w:val="00037E76"/>
    <w:rPr>
      <w:b/>
      <w:bCs/>
      <w:color w:val="FFFFFF" w:themeColor="background1"/>
    </w:rPr>
  </w:style>
  <w:style w:type="paragraph" w:styleId="NormalWeb">
    <w:name w:val="Normal (Web)"/>
    <w:basedOn w:val="Normal"/>
    <w:uiPriority w:val="99"/>
    <w:semiHidden/>
    <w:unhideWhenUsed/>
    <w:rsid w:val="00A11C0A"/>
    <w:rPr>
      <w:rFonts w:ascii="Times New Roman" w:hAnsi="Times New Roman"/>
    </w:rPr>
  </w:style>
  <w:style w:type="character" w:styleId="Hyperlink">
    <w:name w:val="Hyperlink"/>
    <w:basedOn w:val="DefaultParagraphFont"/>
    <w:uiPriority w:val="99"/>
    <w:unhideWhenUsed/>
    <w:rsid w:val="00A11C0A"/>
    <w:rPr>
      <w:color w:val="0000FF" w:themeColor="hyperlink"/>
      <w:u w:val="single"/>
    </w:rPr>
  </w:style>
  <w:style w:type="table" w:styleId="TableGrid">
    <w:name w:val="Table Grid"/>
    <w:basedOn w:val="TableNormal"/>
    <w:uiPriority w:val="59"/>
    <w:rsid w:val="003C2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59775">
      <w:bodyDiv w:val="1"/>
      <w:marLeft w:val="0"/>
      <w:marRight w:val="0"/>
      <w:marTop w:val="0"/>
      <w:marBottom w:val="0"/>
      <w:divBdr>
        <w:top w:val="none" w:sz="0" w:space="0" w:color="auto"/>
        <w:left w:val="none" w:sz="0" w:space="0" w:color="auto"/>
        <w:bottom w:val="none" w:sz="0" w:space="0" w:color="auto"/>
        <w:right w:val="none" w:sz="0" w:space="0" w:color="auto"/>
      </w:divBdr>
    </w:div>
    <w:div w:id="1112743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USAID2</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Chumbler</dc:creator>
  <cp:lastModifiedBy>Lartigue, Laura (E3/ED/EPP)</cp:lastModifiedBy>
  <cp:revision>3</cp:revision>
  <dcterms:created xsi:type="dcterms:W3CDTF">2018-12-11T22:14:00Z</dcterms:created>
  <dcterms:modified xsi:type="dcterms:W3CDTF">2018-12-11T22:16:00Z</dcterms:modified>
</cp:coreProperties>
</file>