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C2762" w14:textId="463E07F0" w:rsidR="00976D29" w:rsidRDefault="004B20CD" w:rsidP="00A96BC3">
      <w:pPr>
        <w:pStyle w:val="Title"/>
        <w:spacing w:before="240"/>
      </w:pPr>
      <w:bookmarkStart w:id="0" w:name="_GoBack"/>
      <w:bookmarkEnd w:id="0"/>
      <w:r>
        <w:drawing>
          <wp:anchor distT="0" distB="0" distL="114300" distR="114300" simplePos="0" relativeHeight="251663360" behindDoc="0" locked="0" layoutInCell="1" allowOverlap="1" wp14:anchorId="0CB1AEE0" wp14:editId="77D76803">
            <wp:simplePos x="0" y="0"/>
            <wp:positionH relativeFrom="column">
              <wp:posOffset>3604260</wp:posOffset>
            </wp:positionH>
            <wp:positionV relativeFrom="page">
              <wp:posOffset>-599440</wp:posOffset>
            </wp:positionV>
            <wp:extent cx="4084320" cy="3714750"/>
            <wp:effectExtent l="0" t="0" r="0" b="0"/>
            <wp:wrapSquare wrapText="bothSides"/>
            <wp:docPr id="2" name="Picture 2" descr="C:\Users\tweatherholt\Desktop\On a Saturday afternoon, children from Birethanti Resource Center in the Western Region read aloud stories from the supplemental reading materials to their friends - USAID NE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weatherholt\Desktop\On a Saturday afternoon, children from Birethanti Resource Center in the Western Region read aloud stories from the supplemental reading materials to their friends - USAID NEP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4320" cy="3714750"/>
                    </a:xfrm>
                    <a:prstGeom prst="flowChartConnector">
                      <a:avLst/>
                    </a:prstGeom>
                    <a:noFill/>
                    <a:ln>
                      <a:noFill/>
                    </a:ln>
                  </pic:spPr>
                </pic:pic>
              </a:graphicData>
            </a:graphic>
            <wp14:sizeRelH relativeFrom="page">
              <wp14:pctWidth>0</wp14:pctWidth>
            </wp14:sizeRelH>
            <wp14:sizeRelV relativeFrom="page">
              <wp14:pctHeight>0</wp14:pctHeight>
            </wp14:sizeRelV>
          </wp:anchor>
        </w:drawing>
      </w:r>
      <w:r w:rsidR="00976D29" w:rsidRPr="0059484A">
        <w:drawing>
          <wp:anchor distT="0" distB="0" distL="114300" distR="114300" simplePos="0" relativeHeight="251662336" behindDoc="0" locked="0" layoutInCell="1" allowOverlap="1" wp14:anchorId="68D32229" wp14:editId="54C3550F">
            <wp:simplePos x="0" y="0"/>
            <wp:positionH relativeFrom="page">
              <wp:posOffset>984738</wp:posOffset>
            </wp:positionH>
            <wp:positionV relativeFrom="page">
              <wp:posOffset>914400</wp:posOffset>
            </wp:positionV>
            <wp:extent cx="2406896" cy="733530"/>
            <wp:effectExtent l="0" t="0" r="0" b="9525"/>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30272" cy="7406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BFBBA3" w14:textId="3132DE4C" w:rsidR="00976D29" w:rsidRDefault="00976D29" w:rsidP="00A96BC3">
      <w:pPr>
        <w:pStyle w:val="Title"/>
        <w:spacing w:before="240"/>
      </w:pPr>
    </w:p>
    <w:p w14:paraId="0F8E1850" w14:textId="743A28CF" w:rsidR="00692463" w:rsidRPr="0059484A" w:rsidRDefault="002533AE" w:rsidP="0047357E">
      <w:pPr>
        <w:pStyle w:val="Title"/>
        <w:spacing w:before="240" w:line="360" w:lineRule="auto"/>
      </w:pPr>
      <w:r w:rsidRPr="0059484A">
        <w:t>All Children Reading – Asia</w:t>
      </w:r>
      <w:r w:rsidR="00F32676" w:rsidRPr="0059484A">
        <w:t xml:space="preserve"> </w:t>
      </w:r>
      <w:r w:rsidR="00A96BC3">
        <w:softHyphen/>
      </w:r>
    </w:p>
    <w:p w14:paraId="59475C19" w14:textId="77777777" w:rsidR="0047357E" w:rsidRDefault="00692463" w:rsidP="00692463">
      <w:pPr>
        <w:pStyle w:val="ACRSubtitle"/>
      </w:pPr>
      <w:r w:rsidRPr="00692463">
        <w:t xml:space="preserve">Early Childhood Education: </w:t>
      </w:r>
    </w:p>
    <w:p w14:paraId="21A51D46" w14:textId="77777777" w:rsidR="00692463" w:rsidRDefault="00692463" w:rsidP="00692463">
      <w:pPr>
        <w:pStyle w:val="ACRSubtitle"/>
      </w:pPr>
      <w:r w:rsidRPr="00692463">
        <w:t>Considerations for</w:t>
      </w:r>
      <w:r w:rsidR="0047357E">
        <w:t xml:space="preserve"> </w:t>
      </w:r>
      <w:r w:rsidRPr="00692463">
        <w:t xml:space="preserve">Programming </w:t>
      </w:r>
    </w:p>
    <w:p w14:paraId="5660D960" w14:textId="38975677" w:rsidR="00692463" w:rsidRPr="007222B4" w:rsidRDefault="00BD5B7A" w:rsidP="00902105">
      <w:pPr>
        <w:pStyle w:val="ACRflyertitle"/>
        <w:spacing w:after="80"/>
        <w:rPr>
          <w:sz w:val="60"/>
          <w:szCs w:val="60"/>
        </w:rPr>
      </w:pPr>
      <w:r w:rsidRPr="007222B4">
        <w:rPr>
          <w:noProof/>
          <w:sz w:val="60"/>
          <w:szCs w:val="60"/>
        </w:rPr>
        <w:t>Sustainability</w:t>
      </w:r>
    </w:p>
    <w:p w14:paraId="5C8014A3" w14:textId="20DCF3AA" w:rsidR="0059484A" w:rsidRDefault="004B20CD" w:rsidP="0059484A">
      <w:pPr>
        <w:pStyle w:val="Introtext"/>
      </w:pPr>
      <w:r w:rsidRPr="007222B4">
        <w:rPr>
          <w:noProof/>
          <w:sz w:val="60"/>
          <w:szCs w:val="60"/>
        </w:rPr>
        <mc:AlternateContent>
          <mc:Choice Requires="wps">
            <w:drawing>
              <wp:anchor distT="0" distB="0" distL="114300" distR="114300" simplePos="0" relativeHeight="251659264" behindDoc="0" locked="0" layoutInCell="1" allowOverlap="1" wp14:anchorId="45331C2D" wp14:editId="7997D288">
                <wp:simplePos x="0" y="0"/>
                <wp:positionH relativeFrom="column">
                  <wp:posOffset>5487670</wp:posOffset>
                </wp:positionH>
                <wp:positionV relativeFrom="paragraph">
                  <wp:posOffset>356235</wp:posOffset>
                </wp:positionV>
                <wp:extent cx="1986915" cy="448945"/>
                <wp:effectExtent l="6985" t="0" r="1270" b="1270"/>
                <wp:wrapTight wrapText="bothSides">
                  <wp:wrapPolygon edited="0">
                    <wp:start x="21110" y="-336"/>
                    <wp:lineTo x="193" y="-336"/>
                    <wp:lineTo x="193" y="20745"/>
                    <wp:lineTo x="21110" y="20745"/>
                    <wp:lineTo x="21110" y="-336"/>
                  </wp:wrapPolygon>
                </wp:wrapTight>
                <wp:docPr id="7" name="Text Box 7"/>
                <wp:cNvGraphicFramePr/>
                <a:graphic xmlns:a="http://schemas.openxmlformats.org/drawingml/2006/main">
                  <a:graphicData uri="http://schemas.microsoft.com/office/word/2010/wordprocessingShape">
                    <wps:wsp>
                      <wps:cNvSpPr txBox="1"/>
                      <wps:spPr>
                        <a:xfrm rot="16200000">
                          <a:off x="0" y="0"/>
                          <a:ext cx="1986915" cy="448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46BA70" w14:textId="4470E91C" w:rsidR="00564E0B" w:rsidRPr="000A707D" w:rsidRDefault="003959E8" w:rsidP="00521CC3">
                            <w:pPr>
                              <w:pStyle w:val="Left-Credit"/>
                            </w:pPr>
                            <w:r>
                              <w:t xml:space="preserve">PHOTO: </w:t>
                            </w:r>
                            <w:r w:rsidR="004B20CD">
                              <w:t>On a Saturday afternoon, children from birethanti resource center read aloud stories from the supplemental reading  materialsmaterials (USAID NEPAL)</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31C2D" id="_x0000_t202" coordsize="21600,21600" o:spt="202" path="m,l,21600r21600,l21600,xe">
                <v:stroke joinstyle="miter"/>
                <v:path gradientshapeok="t" o:connecttype="rect"/>
              </v:shapetype>
              <v:shape id="Text Box 7" o:spid="_x0000_s1026" type="#_x0000_t202" style="position:absolute;margin-left:432.1pt;margin-top:28.05pt;width:156.45pt;height:35.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" filled="f" stroked="f">
                <v:textbox inset=". mm">
                  <w:txbxContent>
                    <w:p w14:paraId="2746BA70" w14:textId="4470E91C" w:rsidR="00564E0B" w:rsidRPr="000A707D" w:rsidRDefault="003959E8" w:rsidP="00521CC3">
                      <w:pPr>
                        <w:pStyle w:val="Left-Credit"/>
                      </w:pPr>
                      <w:r>
                        <w:t xml:space="preserve">PHOTO: </w:t>
                      </w:r>
                      <w:r w:rsidR="004B20CD">
                        <w:t>On a Saturday afternoon, children from birethanti resource center read aloud stories from the supplemental reading  materialsmaterials (USAID NEPAL)</w:t>
                      </w:r>
                    </w:p>
                  </w:txbxContent>
                </v:textbox>
                <w10:wrap type="tight"/>
              </v:shape>
            </w:pict>
          </mc:Fallback>
        </mc:AlternateContent>
      </w:r>
      <w:r w:rsidR="00DC1423">
        <w:t>S</w:t>
      </w:r>
      <w:r w:rsidR="00DC1423" w:rsidRPr="00BD5B7A">
        <w:t xml:space="preserve">ustainability of </w:t>
      </w:r>
      <w:r w:rsidR="007D094A">
        <w:t xml:space="preserve">early childhood education </w:t>
      </w:r>
      <w:r w:rsidR="00DC1423" w:rsidRPr="00BD5B7A">
        <w:t>requires</w:t>
      </w:r>
      <w:r w:rsidR="00DC1423">
        <w:t xml:space="preserve"> objectives and</w:t>
      </w:r>
      <w:r w:rsidR="00DC1423" w:rsidRPr="00BD5B7A">
        <w:t xml:space="preserve"> strategies to ensure sound governance and adequate and reliable financing over the medium to long term</w:t>
      </w:r>
      <w:r w:rsidR="00DC1423">
        <w:t>.</w:t>
      </w:r>
    </w:p>
    <w:p w14:paraId="38A4861C" w14:textId="770E9500" w:rsidR="0059484A" w:rsidRDefault="00BD5B7A" w:rsidP="0008229E">
      <w:pPr>
        <w:pStyle w:val="Heading2"/>
        <w:rPr>
          <w:noProof/>
        </w:rPr>
      </w:pPr>
      <w:r>
        <w:rPr>
          <w:noProof/>
        </w:rPr>
        <w:t xml:space="preserve">sustainability of </w:t>
      </w:r>
      <w:r w:rsidR="007D094A">
        <w:rPr>
          <w:noProof/>
        </w:rPr>
        <w:t>early childhood education</w:t>
      </w:r>
    </w:p>
    <w:p w14:paraId="1AB9B24C" w14:textId="370A2D33" w:rsidR="00630647" w:rsidRPr="00C31BAF" w:rsidRDefault="00BD5B7A" w:rsidP="00BF6CB8">
      <w:pPr>
        <w:spacing w:line="240" w:lineRule="auto"/>
      </w:pPr>
      <w:r w:rsidRPr="00EB4A64">
        <w:t xml:space="preserve">Governance and financing of </w:t>
      </w:r>
      <w:r w:rsidR="0062313F">
        <w:t>early childhood education (</w:t>
      </w:r>
      <w:r w:rsidRPr="00EB4A64">
        <w:t>ECE</w:t>
      </w:r>
      <w:r w:rsidR="0062313F">
        <w:t>)</w:t>
      </w:r>
      <w:r w:rsidRPr="00EB4A64">
        <w:t xml:space="preserve"> are complex, involving multiple actor</w:t>
      </w:r>
      <w:r>
        <w:t xml:space="preserve">s, </w:t>
      </w:r>
      <w:r w:rsidRPr="00EB4A64">
        <w:t>levels, objectives</w:t>
      </w:r>
      <w:r w:rsidR="0062313F">
        <w:t>,</w:t>
      </w:r>
      <w:r w:rsidRPr="00EB4A64">
        <w:t xml:space="preserve"> and approaches, from general expansion </w:t>
      </w:r>
      <w:r w:rsidR="0062313F">
        <w:t xml:space="preserve">of education access </w:t>
      </w:r>
      <w:r w:rsidRPr="00EB4A64">
        <w:t>to targeted coverage of the most underserved</w:t>
      </w:r>
      <w:r w:rsidR="001704C3">
        <w:t xml:space="preserve">. </w:t>
      </w:r>
      <w:r>
        <w:t>Coordination of actors and local community engagement in ECE are important dimensions in the governance and sustainability of ECE, above and beyond specific financing sources and arrangements.</w:t>
      </w:r>
      <w:r w:rsidR="00BF6CB8">
        <w:t xml:space="preserve"> </w:t>
      </w:r>
      <w:r w:rsidR="00630647" w:rsidRPr="00C31BAF">
        <w:t xml:space="preserve">More than policies or systems alone, the quality and nature of governance is directly linked to a program’s chances for sustainability. </w:t>
      </w:r>
    </w:p>
    <w:p w14:paraId="60F9C415" w14:textId="77777777" w:rsidR="00B25D6C" w:rsidRDefault="00B25D6C" w:rsidP="00B25D6C">
      <w:pPr>
        <w:pStyle w:val="Heading2"/>
        <w:rPr>
          <w:noProof/>
        </w:rPr>
      </w:pPr>
      <w:r>
        <w:rPr>
          <w:noProof/>
        </w:rPr>
        <w:t>ECE financing</w:t>
      </w:r>
    </w:p>
    <w:p w14:paraId="68E4357D" w14:textId="2849AB93" w:rsidR="00B25D6C" w:rsidRDefault="00A6693D" w:rsidP="00B25D6C">
      <w:r>
        <w:t xml:space="preserve">To adequately fund the ECE sector, </w:t>
      </w:r>
      <w:r w:rsidR="00941608" w:rsidRPr="00E32E11">
        <w:t>UNICEF proposes guidelines</w:t>
      </w:r>
      <w:r>
        <w:t xml:space="preserve"> for governments</w:t>
      </w:r>
      <w:r w:rsidR="00941608" w:rsidRPr="00E32E11">
        <w:t xml:space="preserve"> of 1.0% of GDP</w:t>
      </w:r>
      <w:r w:rsidR="00630647" w:rsidRPr="00E32E11">
        <w:t xml:space="preserve"> </w:t>
      </w:r>
      <w:r w:rsidR="00E32E11" w:rsidRPr="00E32E11">
        <w:t xml:space="preserve">(UNESCO, 2016) </w:t>
      </w:r>
      <w:r w:rsidR="00941608" w:rsidRPr="00E32E11">
        <w:t xml:space="preserve">and the </w:t>
      </w:r>
      <w:r>
        <w:t xml:space="preserve">International </w:t>
      </w:r>
      <w:proofErr w:type="spellStart"/>
      <w:r>
        <w:t>Labour</w:t>
      </w:r>
      <w:proofErr w:type="spellEnd"/>
      <w:r>
        <w:t xml:space="preserve"> Organization (</w:t>
      </w:r>
      <w:r w:rsidR="00941608" w:rsidRPr="00E32E11">
        <w:t>ILO</w:t>
      </w:r>
      <w:r>
        <w:t>)</w:t>
      </w:r>
      <w:r w:rsidR="00941608" w:rsidRPr="00E32E11">
        <w:t xml:space="preserve"> </w:t>
      </w:r>
      <w:r w:rsidR="00E32E11" w:rsidRPr="00E32E11">
        <w:t xml:space="preserve">proposed a </w:t>
      </w:r>
      <w:r w:rsidR="00941608" w:rsidRPr="00E32E11">
        <w:t>standard of</w:t>
      </w:r>
      <w:r w:rsidR="00941608" w:rsidRPr="00630647">
        <w:t xml:space="preserve"> 10% of total </w:t>
      </w:r>
      <w:r w:rsidR="00941608" w:rsidRPr="0088797F">
        <w:t xml:space="preserve">government expenditures </w:t>
      </w:r>
      <w:r>
        <w:t>(2014)</w:t>
      </w:r>
      <w:r w:rsidR="00941608">
        <w:t xml:space="preserve">. </w:t>
      </w:r>
      <w:r w:rsidR="00941608" w:rsidRPr="00941608">
        <w:t>The table below</w:t>
      </w:r>
      <w:r w:rsidR="00B25D6C" w:rsidRPr="00941608">
        <w:t xml:space="preserve"> presents available recent data on countries’ government expenditure</w:t>
      </w:r>
      <w:r w:rsidR="009C668D">
        <w:t>s</w:t>
      </w:r>
      <w:r w:rsidR="00B25D6C" w:rsidRPr="00941608">
        <w:t xml:space="preserve"> on ECE relative to GDP and to total</w:t>
      </w:r>
      <w:r w:rsidR="00B25D6C">
        <w:t xml:space="preserve"> government expenditure on education. </w:t>
      </w:r>
    </w:p>
    <w:p w14:paraId="15E4F0C7" w14:textId="00799C32" w:rsidR="00941608" w:rsidRDefault="00941608" w:rsidP="00941608">
      <w:pPr>
        <w:pStyle w:val="ExhibitTitle"/>
      </w:pPr>
      <w:r>
        <w:t xml:space="preserve">Government </w:t>
      </w:r>
      <w:r w:rsidR="009C668D">
        <w:t xml:space="preserve">Expenditure </w:t>
      </w:r>
      <w:r>
        <w:t xml:space="preserve">on ECE and Percent of </w:t>
      </w:r>
      <w:r w:rsidR="009C668D">
        <w:t xml:space="preserve">Enrollment </w:t>
      </w:r>
      <w:r>
        <w:t xml:space="preserve">in </w:t>
      </w:r>
      <w:r w:rsidR="009C668D">
        <w:t>Private Institutions</w:t>
      </w:r>
    </w:p>
    <w:tbl>
      <w:tblPr>
        <w:tblStyle w:val="TableGrid"/>
        <w:tblW w:w="9360" w:type="dxa"/>
        <w:tblLook w:val="04A0" w:firstRow="1" w:lastRow="0" w:firstColumn="1" w:lastColumn="0" w:noHBand="0" w:noVBand="1"/>
      </w:tblPr>
      <w:tblGrid>
        <w:gridCol w:w="2520"/>
        <w:gridCol w:w="2280"/>
        <w:gridCol w:w="2280"/>
        <w:gridCol w:w="2280"/>
      </w:tblGrid>
      <w:tr w:rsidR="00B25D6C" w14:paraId="3F31AB2C" w14:textId="77777777" w:rsidTr="007222B4">
        <w:trPr>
          <w:trHeight w:hRule="exact" w:val="1181"/>
        </w:trPr>
        <w:tc>
          <w:tcPr>
            <w:tcW w:w="2520" w:type="dxa"/>
            <w:tcBorders>
              <w:top w:val="single" w:sz="18" w:space="0" w:color="0067B9"/>
              <w:left w:val="nil"/>
              <w:bottom w:val="single" w:sz="18" w:space="0" w:color="0067B9"/>
              <w:right w:val="single" w:sz="8" w:space="0" w:color="0067B9"/>
            </w:tcBorders>
            <w:tcMar>
              <w:top w:w="43" w:type="dxa"/>
              <w:left w:w="43" w:type="dxa"/>
              <w:bottom w:w="43" w:type="dxa"/>
              <w:right w:w="43" w:type="dxa"/>
            </w:tcMar>
          </w:tcPr>
          <w:p w14:paraId="0AF5B925" w14:textId="77777777" w:rsidR="00BF6CB8" w:rsidRDefault="00BF6CB8" w:rsidP="007222B4">
            <w:pPr>
              <w:jc w:val="center"/>
              <w:rPr>
                <w:sz w:val="18"/>
                <w:szCs w:val="18"/>
              </w:rPr>
            </w:pPr>
          </w:p>
          <w:p w14:paraId="0FCC726C" w14:textId="77777777" w:rsidR="00BF6CB8" w:rsidRPr="00BF6CB8" w:rsidRDefault="00B25D6C" w:rsidP="007222B4">
            <w:pPr>
              <w:jc w:val="center"/>
              <w:rPr>
                <w:sz w:val="18"/>
                <w:szCs w:val="18"/>
              </w:rPr>
            </w:pPr>
            <w:r w:rsidRPr="00B25D6C">
              <w:rPr>
                <w:sz w:val="18"/>
                <w:szCs w:val="18"/>
              </w:rPr>
              <w:t>COUNTR</w:t>
            </w:r>
            <w:r w:rsidR="00BF6CB8">
              <w:rPr>
                <w:sz w:val="18"/>
                <w:szCs w:val="18"/>
              </w:rPr>
              <w:t>Y</w:t>
            </w:r>
          </w:p>
        </w:tc>
        <w:tc>
          <w:tcPr>
            <w:tcW w:w="2280" w:type="dxa"/>
            <w:tcBorders>
              <w:top w:val="single" w:sz="18" w:space="0" w:color="0067B9"/>
              <w:left w:val="single" w:sz="8" w:space="0" w:color="0067B9"/>
              <w:bottom w:val="single" w:sz="18" w:space="0" w:color="0067B9"/>
              <w:right w:val="single" w:sz="8" w:space="0" w:color="0067B9"/>
            </w:tcBorders>
            <w:tcMar>
              <w:top w:w="43" w:type="dxa"/>
              <w:left w:w="43" w:type="dxa"/>
              <w:bottom w:w="43" w:type="dxa"/>
              <w:right w:w="43" w:type="dxa"/>
            </w:tcMar>
          </w:tcPr>
          <w:p w14:paraId="314E52A1" w14:textId="2D480197" w:rsidR="00B25D6C" w:rsidRPr="00B25D6C" w:rsidRDefault="00B25D6C" w:rsidP="007222B4">
            <w:pPr>
              <w:jc w:val="center"/>
              <w:rPr>
                <w:sz w:val="18"/>
                <w:szCs w:val="18"/>
              </w:rPr>
            </w:pPr>
            <w:r w:rsidRPr="00B25D6C">
              <w:rPr>
                <w:sz w:val="18"/>
                <w:szCs w:val="18"/>
              </w:rPr>
              <w:t>Gov</w:t>
            </w:r>
            <w:r w:rsidR="005B1460">
              <w:rPr>
                <w:sz w:val="18"/>
                <w:szCs w:val="18"/>
              </w:rPr>
              <w:t>ernment</w:t>
            </w:r>
            <w:r w:rsidRPr="00B25D6C">
              <w:rPr>
                <w:sz w:val="18"/>
                <w:szCs w:val="18"/>
              </w:rPr>
              <w:t xml:space="preserve"> expenditure on pre-primary education as % of GDP</w:t>
            </w:r>
          </w:p>
        </w:tc>
        <w:tc>
          <w:tcPr>
            <w:tcW w:w="2280" w:type="dxa"/>
            <w:tcBorders>
              <w:top w:val="single" w:sz="18" w:space="0" w:color="0067B9"/>
              <w:left w:val="single" w:sz="8" w:space="0" w:color="0067B9"/>
              <w:bottom w:val="single" w:sz="18" w:space="0" w:color="0067B9"/>
              <w:right w:val="single" w:sz="8" w:space="0" w:color="0067B9"/>
            </w:tcBorders>
            <w:tcMar>
              <w:top w:w="43" w:type="dxa"/>
              <w:left w:w="43" w:type="dxa"/>
              <w:bottom w:w="43" w:type="dxa"/>
              <w:right w:w="43" w:type="dxa"/>
            </w:tcMar>
          </w:tcPr>
          <w:p w14:paraId="24C4C993" w14:textId="30BFF596" w:rsidR="00B25D6C" w:rsidRPr="00B25D6C" w:rsidRDefault="005B1460" w:rsidP="007222B4">
            <w:pPr>
              <w:jc w:val="center"/>
              <w:rPr>
                <w:sz w:val="18"/>
                <w:szCs w:val="18"/>
              </w:rPr>
            </w:pPr>
            <w:r w:rsidRPr="00B25D6C">
              <w:rPr>
                <w:sz w:val="18"/>
                <w:szCs w:val="18"/>
              </w:rPr>
              <w:t>Gov</w:t>
            </w:r>
            <w:r>
              <w:rPr>
                <w:sz w:val="18"/>
                <w:szCs w:val="18"/>
              </w:rPr>
              <w:t>ernment</w:t>
            </w:r>
            <w:r w:rsidRPr="00B25D6C">
              <w:rPr>
                <w:sz w:val="18"/>
                <w:szCs w:val="18"/>
              </w:rPr>
              <w:t xml:space="preserve"> </w:t>
            </w:r>
            <w:r w:rsidR="00B25D6C" w:rsidRPr="00B25D6C">
              <w:rPr>
                <w:sz w:val="18"/>
                <w:szCs w:val="18"/>
              </w:rPr>
              <w:t xml:space="preserve">expenditure on pre-primary education as % of total </w:t>
            </w:r>
            <w:r w:rsidRPr="00B25D6C">
              <w:rPr>
                <w:sz w:val="18"/>
                <w:szCs w:val="18"/>
              </w:rPr>
              <w:t>gov</w:t>
            </w:r>
            <w:r>
              <w:rPr>
                <w:sz w:val="18"/>
                <w:szCs w:val="18"/>
              </w:rPr>
              <w:t xml:space="preserve">ernment </w:t>
            </w:r>
            <w:r w:rsidR="00B25D6C" w:rsidRPr="00B25D6C">
              <w:rPr>
                <w:sz w:val="18"/>
                <w:szCs w:val="18"/>
              </w:rPr>
              <w:t>education expenditure *</w:t>
            </w:r>
          </w:p>
        </w:tc>
        <w:tc>
          <w:tcPr>
            <w:tcW w:w="2280" w:type="dxa"/>
            <w:tcBorders>
              <w:top w:val="single" w:sz="18" w:space="0" w:color="0067B9"/>
              <w:left w:val="single" w:sz="8" w:space="0" w:color="0067B9"/>
              <w:bottom w:val="single" w:sz="18" w:space="0" w:color="0067B9"/>
              <w:right w:val="single" w:sz="8" w:space="0" w:color="0067B9"/>
            </w:tcBorders>
            <w:tcMar>
              <w:top w:w="43" w:type="dxa"/>
              <w:left w:w="43" w:type="dxa"/>
              <w:bottom w:w="43" w:type="dxa"/>
              <w:right w:w="43" w:type="dxa"/>
            </w:tcMar>
          </w:tcPr>
          <w:p w14:paraId="2C75D323" w14:textId="4F3D5076" w:rsidR="00B25D6C" w:rsidRPr="00B25D6C" w:rsidRDefault="00B25D6C" w:rsidP="007222B4">
            <w:pPr>
              <w:jc w:val="center"/>
              <w:rPr>
                <w:sz w:val="18"/>
                <w:szCs w:val="18"/>
              </w:rPr>
            </w:pPr>
            <w:r w:rsidRPr="00B25D6C">
              <w:rPr>
                <w:sz w:val="18"/>
                <w:szCs w:val="18"/>
              </w:rPr>
              <w:t>Percentage of pre-primary enro</w:t>
            </w:r>
            <w:r w:rsidR="005B1460">
              <w:rPr>
                <w:sz w:val="18"/>
                <w:szCs w:val="18"/>
              </w:rPr>
              <w:t>l</w:t>
            </w:r>
            <w:r w:rsidRPr="00B25D6C">
              <w:rPr>
                <w:sz w:val="18"/>
                <w:szCs w:val="18"/>
              </w:rPr>
              <w:t>lment in non</w:t>
            </w:r>
            <w:r w:rsidR="007D5903">
              <w:rPr>
                <w:sz w:val="18"/>
                <w:szCs w:val="18"/>
              </w:rPr>
              <w:t>government</w:t>
            </w:r>
            <w:r w:rsidRPr="00B25D6C">
              <w:rPr>
                <w:sz w:val="18"/>
                <w:szCs w:val="18"/>
              </w:rPr>
              <w:t xml:space="preserve"> instit</w:t>
            </w:r>
            <w:r>
              <w:rPr>
                <w:sz w:val="18"/>
                <w:szCs w:val="18"/>
              </w:rPr>
              <w:t>u</w:t>
            </w:r>
            <w:r w:rsidRPr="00B25D6C">
              <w:rPr>
                <w:sz w:val="18"/>
                <w:szCs w:val="18"/>
              </w:rPr>
              <w:t>tions (%)</w:t>
            </w:r>
          </w:p>
        </w:tc>
      </w:tr>
      <w:tr w:rsidR="00B25D6C" w14:paraId="2939E6CE" w14:textId="77777777" w:rsidTr="00941608">
        <w:trPr>
          <w:trHeight w:hRule="exact" w:val="360"/>
        </w:trPr>
        <w:tc>
          <w:tcPr>
            <w:tcW w:w="2520" w:type="dxa"/>
            <w:tcBorders>
              <w:top w:val="single" w:sz="8" w:space="0" w:color="0067B9"/>
              <w:left w:val="nil"/>
              <w:bottom w:val="single" w:sz="8" w:space="0" w:color="0067B9"/>
              <w:right w:val="single" w:sz="8" w:space="0" w:color="0067B9"/>
            </w:tcBorders>
            <w:tcMar>
              <w:top w:w="43" w:type="dxa"/>
              <w:left w:w="43" w:type="dxa"/>
              <w:bottom w:w="43" w:type="dxa"/>
              <w:right w:w="43" w:type="dxa"/>
            </w:tcMar>
            <w:vAlign w:val="center"/>
          </w:tcPr>
          <w:p w14:paraId="6F809F6F" w14:textId="77777777" w:rsidR="00B25D6C" w:rsidRPr="00B25D6C" w:rsidRDefault="00B25D6C" w:rsidP="00B25D6C">
            <w:pPr>
              <w:pStyle w:val="BodyText"/>
              <w:spacing w:before="0"/>
              <w:jc w:val="center"/>
              <w:rPr>
                <w:rFonts w:ascii="Gill Sans MT" w:hAnsi="Gill Sans MT" w:cs="Arial"/>
                <w:color w:val="000000"/>
                <w:sz w:val="18"/>
                <w:szCs w:val="18"/>
              </w:rPr>
            </w:pPr>
            <w:r w:rsidRPr="00B25D6C">
              <w:rPr>
                <w:rFonts w:ascii="Gill Sans MT" w:hAnsi="Gill Sans MT" w:cs="Arial"/>
                <w:color w:val="000000"/>
                <w:sz w:val="18"/>
                <w:szCs w:val="18"/>
              </w:rPr>
              <w:t>Bangladesh</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3471471B" w14:textId="77777777" w:rsidR="00B25D6C" w:rsidRPr="00B25D6C" w:rsidRDefault="00B25D6C" w:rsidP="00B25D6C">
            <w:pPr>
              <w:jc w:val="center"/>
              <w:rPr>
                <w:sz w:val="18"/>
                <w:szCs w:val="18"/>
              </w:rPr>
            </w:pPr>
            <w:r w:rsidRPr="00B25D6C">
              <w:rPr>
                <w:sz w:val="18"/>
                <w:szCs w:val="18"/>
              </w:rPr>
              <w:t>No data</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78C1B24B" w14:textId="77777777" w:rsidR="00B25D6C" w:rsidRPr="00B25D6C" w:rsidRDefault="00B25D6C" w:rsidP="00B25D6C">
            <w:pPr>
              <w:jc w:val="center"/>
              <w:rPr>
                <w:sz w:val="18"/>
                <w:szCs w:val="18"/>
              </w:rPr>
            </w:pPr>
            <w:r w:rsidRPr="00B25D6C">
              <w:rPr>
                <w:sz w:val="18"/>
                <w:szCs w:val="18"/>
              </w:rPr>
              <w:t>No data</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39E1DF22" w14:textId="77777777" w:rsidR="00B25D6C" w:rsidRPr="00B25D6C" w:rsidRDefault="00B25D6C" w:rsidP="00B25D6C">
            <w:pPr>
              <w:jc w:val="center"/>
              <w:rPr>
                <w:sz w:val="18"/>
                <w:szCs w:val="18"/>
              </w:rPr>
            </w:pPr>
            <w:r w:rsidRPr="00B25D6C">
              <w:rPr>
                <w:sz w:val="18"/>
                <w:szCs w:val="18"/>
              </w:rPr>
              <w:t>41.8%</w:t>
            </w:r>
          </w:p>
        </w:tc>
      </w:tr>
      <w:tr w:rsidR="00B25D6C" w14:paraId="63AFC154" w14:textId="77777777" w:rsidTr="00941608">
        <w:trPr>
          <w:trHeight w:hRule="exact" w:val="360"/>
        </w:trPr>
        <w:tc>
          <w:tcPr>
            <w:tcW w:w="2520" w:type="dxa"/>
            <w:tcBorders>
              <w:top w:val="single" w:sz="8" w:space="0" w:color="0067B9"/>
              <w:left w:val="nil"/>
              <w:bottom w:val="single" w:sz="8" w:space="0" w:color="0067B9"/>
              <w:right w:val="single" w:sz="8" w:space="0" w:color="0067B9"/>
            </w:tcBorders>
            <w:tcMar>
              <w:top w:w="43" w:type="dxa"/>
              <w:left w:w="43" w:type="dxa"/>
              <w:bottom w:w="43" w:type="dxa"/>
              <w:right w:w="43" w:type="dxa"/>
            </w:tcMar>
            <w:vAlign w:val="center"/>
          </w:tcPr>
          <w:p w14:paraId="2D58434E" w14:textId="77777777" w:rsidR="00B25D6C" w:rsidRPr="00B25D6C" w:rsidRDefault="00B25D6C" w:rsidP="00B25D6C">
            <w:pPr>
              <w:pStyle w:val="BodyText"/>
              <w:spacing w:before="0"/>
              <w:jc w:val="center"/>
              <w:rPr>
                <w:rFonts w:ascii="Gill Sans MT" w:hAnsi="Gill Sans MT" w:cs="Arial"/>
                <w:color w:val="000000"/>
                <w:sz w:val="18"/>
                <w:szCs w:val="18"/>
              </w:rPr>
            </w:pPr>
            <w:r w:rsidRPr="00B25D6C">
              <w:rPr>
                <w:rFonts w:ascii="Gill Sans MT" w:hAnsi="Gill Sans MT" w:cs="Arial"/>
                <w:color w:val="000000"/>
                <w:sz w:val="18"/>
                <w:szCs w:val="18"/>
              </w:rPr>
              <w:t>Cambodia</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2E1AD257" w14:textId="77777777" w:rsidR="00B25D6C" w:rsidRPr="00B25D6C" w:rsidRDefault="00B25D6C" w:rsidP="00B25D6C">
            <w:pPr>
              <w:jc w:val="center"/>
              <w:rPr>
                <w:sz w:val="18"/>
                <w:szCs w:val="18"/>
              </w:rPr>
            </w:pPr>
            <w:r w:rsidRPr="00B25D6C">
              <w:rPr>
                <w:sz w:val="18"/>
                <w:szCs w:val="18"/>
              </w:rPr>
              <w:t>0.05%</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560426A0" w14:textId="77777777" w:rsidR="00B25D6C" w:rsidRPr="00B25D6C" w:rsidRDefault="00B25D6C" w:rsidP="00B25D6C">
            <w:pPr>
              <w:jc w:val="center"/>
              <w:rPr>
                <w:sz w:val="18"/>
                <w:szCs w:val="18"/>
              </w:rPr>
            </w:pPr>
            <w:r w:rsidRPr="00B25D6C">
              <w:rPr>
                <w:sz w:val="18"/>
                <w:szCs w:val="18"/>
              </w:rPr>
              <w:t>2.6%</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784AABDA" w14:textId="77777777" w:rsidR="00B25D6C" w:rsidRPr="00B25D6C" w:rsidRDefault="00B25D6C" w:rsidP="00B25D6C">
            <w:pPr>
              <w:jc w:val="center"/>
              <w:rPr>
                <w:sz w:val="18"/>
                <w:szCs w:val="18"/>
              </w:rPr>
            </w:pPr>
            <w:r w:rsidRPr="00B25D6C">
              <w:rPr>
                <w:sz w:val="18"/>
                <w:szCs w:val="18"/>
              </w:rPr>
              <w:t>14.7%</w:t>
            </w:r>
          </w:p>
        </w:tc>
      </w:tr>
      <w:tr w:rsidR="00B25D6C" w14:paraId="0BFD4C7F" w14:textId="77777777" w:rsidTr="00941608">
        <w:trPr>
          <w:trHeight w:hRule="exact" w:val="360"/>
        </w:trPr>
        <w:tc>
          <w:tcPr>
            <w:tcW w:w="2520" w:type="dxa"/>
            <w:tcBorders>
              <w:top w:val="single" w:sz="8" w:space="0" w:color="0067B9"/>
              <w:left w:val="nil"/>
              <w:bottom w:val="single" w:sz="8" w:space="0" w:color="0067B9"/>
              <w:right w:val="single" w:sz="8" w:space="0" w:color="0067B9"/>
            </w:tcBorders>
            <w:tcMar>
              <w:top w:w="43" w:type="dxa"/>
              <w:left w:w="43" w:type="dxa"/>
              <w:bottom w:w="43" w:type="dxa"/>
              <w:right w:w="43" w:type="dxa"/>
            </w:tcMar>
            <w:vAlign w:val="center"/>
          </w:tcPr>
          <w:p w14:paraId="6898AC86" w14:textId="77777777" w:rsidR="00B25D6C" w:rsidRPr="00B25D6C" w:rsidRDefault="00B25D6C" w:rsidP="00B25D6C">
            <w:pPr>
              <w:pStyle w:val="BodyText"/>
              <w:spacing w:before="0"/>
              <w:jc w:val="center"/>
              <w:rPr>
                <w:rFonts w:ascii="Gill Sans MT" w:hAnsi="Gill Sans MT" w:cs="Arial"/>
                <w:color w:val="000000"/>
                <w:sz w:val="18"/>
                <w:szCs w:val="18"/>
              </w:rPr>
            </w:pPr>
            <w:r w:rsidRPr="00B25D6C">
              <w:rPr>
                <w:rFonts w:ascii="Gill Sans MT" w:hAnsi="Gill Sans MT" w:cs="Arial"/>
                <w:color w:val="000000"/>
                <w:sz w:val="18"/>
                <w:szCs w:val="18"/>
              </w:rPr>
              <w:t>India</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441F77EE" w14:textId="77777777" w:rsidR="00B25D6C" w:rsidRPr="00B25D6C" w:rsidRDefault="00B25D6C" w:rsidP="00B25D6C">
            <w:pPr>
              <w:jc w:val="center"/>
              <w:rPr>
                <w:sz w:val="18"/>
                <w:szCs w:val="18"/>
              </w:rPr>
            </w:pPr>
            <w:r w:rsidRPr="00B25D6C">
              <w:rPr>
                <w:sz w:val="18"/>
                <w:szCs w:val="18"/>
              </w:rPr>
              <w:t>0.06%</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06D10B72" w14:textId="77777777" w:rsidR="00B25D6C" w:rsidRDefault="00B25D6C" w:rsidP="00B25D6C">
            <w:pPr>
              <w:jc w:val="center"/>
              <w:rPr>
                <w:sz w:val="18"/>
                <w:szCs w:val="18"/>
              </w:rPr>
            </w:pPr>
            <w:r w:rsidRPr="00B25D6C">
              <w:rPr>
                <w:sz w:val="18"/>
                <w:szCs w:val="18"/>
              </w:rPr>
              <w:t>1.5%</w:t>
            </w:r>
          </w:p>
          <w:p w14:paraId="0648CAD8" w14:textId="6792D3B7" w:rsidR="0062313F" w:rsidRPr="0062313F" w:rsidRDefault="0062313F" w:rsidP="00F50D1F">
            <w:pPr>
              <w:rPr>
                <w:sz w:val="18"/>
                <w:szCs w:val="18"/>
              </w:rPr>
            </w:pP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319A6ABB" w14:textId="77777777" w:rsidR="00B25D6C" w:rsidRPr="00B25D6C" w:rsidRDefault="00B25D6C" w:rsidP="00B25D6C">
            <w:pPr>
              <w:jc w:val="center"/>
              <w:rPr>
                <w:sz w:val="18"/>
                <w:szCs w:val="18"/>
              </w:rPr>
            </w:pPr>
            <w:r w:rsidRPr="00B25D6C">
              <w:rPr>
                <w:sz w:val="18"/>
                <w:szCs w:val="18"/>
              </w:rPr>
              <w:t>75.4%</w:t>
            </w:r>
          </w:p>
        </w:tc>
      </w:tr>
      <w:tr w:rsidR="00B25D6C" w14:paraId="73DEA7E1" w14:textId="77777777" w:rsidTr="00941608">
        <w:trPr>
          <w:trHeight w:hRule="exact" w:val="360"/>
        </w:trPr>
        <w:tc>
          <w:tcPr>
            <w:tcW w:w="2520" w:type="dxa"/>
            <w:tcBorders>
              <w:top w:val="single" w:sz="8" w:space="0" w:color="0067B9"/>
              <w:left w:val="nil"/>
              <w:bottom w:val="single" w:sz="8" w:space="0" w:color="0067B9"/>
              <w:right w:val="single" w:sz="8" w:space="0" w:color="0067B9"/>
            </w:tcBorders>
            <w:tcMar>
              <w:top w:w="43" w:type="dxa"/>
              <w:left w:w="43" w:type="dxa"/>
              <w:bottom w:w="43" w:type="dxa"/>
              <w:right w:w="43" w:type="dxa"/>
            </w:tcMar>
            <w:vAlign w:val="center"/>
          </w:tcPr>
          <w:p w14:paraId="0F6C5F55" w14:textId="77777777" w:rsidR="00B25D6C" w:rsidRPr="00B25D6C" w:rsidRDefault="00B25D6C" w:rsidP="00B25D6C">
            <w:pPr>
              <w:pStyle w:val="BodyText"/>
              <w:spacing w:before="0"/>
              <w:jc w:val="center"/>
              <w:rPr>
                <w:rFonts w:ascii="Gill Sans MT" w:hAnsi="Gill Sans MT" w:cs="Arial"/>
                <w:color w:val="000000"/>
                <w:sz w:val="18"/>
                <w:szCs w:val="18"/>
              </w:rPr>
            </w:pPr>
            <w:r w:rsidRPr="00B25D6C">
              <w:rPr>
                <w:rFonts w:ascii="Gill Sans MT" w:hAnsi="Gill Sans MT" w:cs="Arial"/>
                <w:color w:val="000000"/>
                <w:sz w:val="18"/>
                <w:szCs w:val="18"/>
              </w:rPr>
              <w:lastRenderedPageBreak/>
              <w:t>Indonesia</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4B920663" w14:textId="77777777" w:rsidR="00B25D6C" w:rsidRPr="00B25D6C" w:rsidRDefault="00B25D6C" w:rsidP="00B25D6C">
            <w:pPr>
              <w:jc w:val="center"/>
              <w:rPr>
                <w:sz w:val="18"/>
                <w:szCs w:val="18"/>
              </w:rPr>
            </w:pPr>
            <w:r w:rsidRPr="00B25D6C">
              <w:rPr>
                <w:sz w:val="18"/>
                <w:szCs w:val="18"/>
              </w:rPr>
              <w:t>0.06%</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3C0BDAE2" w14:textId="77777777" w:rsidR="00B25D6C" w:rsidRPr="00B25D6C" w:rsidRDefault="00B25D6C" w:rsidP="00B25D6C">
            <w:pPr>
              <w:jc w:val="center"/>
              <w:rPr>
                <w:sz w:val="18"/>
                <w:szCs w:val="18"/>
              </w:rPr>
            </w:pPr>
            <w:r w:rsidRPr="00B25D6C">
              <w:rPr>
                <w:sz w:val="18"/>
                <w:szCs w:val="18"/>
              </w:rPr>
              <w:t>1.7%</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2DD8DE8E" w14:textId="77777777" w:rsidR="00B25D6C" w:rsidRPr="00B25D6C" w:rsidRDefault="00B25D6C" w:rsidP="00B25D6C">
            <w:pPr>
              <w:jc w:val="center"/>
              <w:rPr>
                <w:sz w:val="18"/>
                <w:szCs w:val="18"/>
              </w:rPr>
            </w:pPr>
            <w:r w:rsidRPr="00B25D6C">
              <w:rPr>
                <w:sz w:val="18"/>
                <w:szCs w:val="18"/>
              </w:rPr>
              <w:t>94.6%</w:t>
            </w:r>
          </w:p>
        </w:tc>
      </w:tr>
      <w:tr w:rsidR="00B25D6C" w14:paraId="6944E981" w14:textId="77777777" w:rsidTr="00941608">
        <w:trPr>
          <w:trHeight w:hRule="exact" w:val="360"/>
        </w:trPr>
        <w:tc>
          <w:tcPr>
            <w:tcW w:w="2520" w:type="dxa"/>
            <w:tcBorders>
              <w:top w:val="single" w:sz="8" w:space="0" w:color="0067B9"/>
              <w:left w:val="nil"/>
              <w:bottom w:val="single" w:sz="8" w:space="0" w:color="0067B9"/>
              <w:right w:val="single" w:sz="8" w:space="0" w:color="0067B9"/>
            </w:tcBorders>
            <w:tcMar>
              <w:top w:w="43" w:type="dxa"/>
              <w:left w:w="43" w:type="dxa"/>
              <w:bottom w:w="43" w:type="dxa"/>
              <w:right w:w="43" w:type="dxa"/>
            </w:tcMar>
            <w:vAlign w:val="center"/>
          </w:tcPr>
          <w:p w14:paraId="3FDB48B7" w14:textId="77777777" w:rsidR="00B25D6C" w:rsidRPr="00B25D6C" w:rsidRDefault="00B25D6C" w:rsidP="00B25D6C">
            <w:pPr>
              <w:pStyle w:val="BodyText"/>
              <w:spacing w:before="0"/>
              <w:jc w:val="center"/>
              <w:rPr>
                <w:rFonts w:ascii="Gill Sans MT" w:hAnsi="Gill Sans MT" w:cs="Arial"/>
                <w:color w:val="000000"/>
                <w:sz w:val="18"/>
                <w:szCs w:val="18"/>
              </w:rPr>
            </w:pPr>
            <w:r w:rsidRPr="00B25D6C">
              <w:rPr>
                <w:rFonts w:ascii="Gill Sans MT" w:hAnsi="Gill Sans MT" w:cs="Arial"/>
                <w:color w:val="000000"/>
                <w:sz w:val="18"/>
                <w:szCs w:val="18"/>
              </w:rPr>
              <w:t>Kyrgyz Republic</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5A81768F" w14:textId="77777777" w:rsidR="00B25D6C" w:rsidRPr="00B25D6C" w:rsidRDefault="00B25D6C" w:rsidP="00B25D6C">
            <w:pPr>
              <w:jc w:val="center"/>
              <w:rPr>
                <w:sz w:val="18"/>
                <w:szCs w:val="18"/>
              </w:rPr>
            </w:pPr>
            <w:r w:rsidRPr="00B25D6C">
              <w:rPr>
                <w:sz w:val="18"/>
                <w:szCs w:val="18"/>
              </w:rPr>
              <w:t>0.59%</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33AE433C" w14:textId="77777777" w:rsidR="00B25D6C" w:rsidRPr="00B25D6C" w:rsidRDefault="00B25D6C" w:rsidP="00B25D6C">
            <w:pPr>
              <w:jc w:val="center"/>
              <w:rPr>
                <w:sz w:val="18"/>
                <w:szCs w:val="18"/>
              </w:rPr>
            </w:pPr>
            <w:r w:rsidRPr="00B25D6C">
              <w:rPr>
                <w:sz w:val="18"/>
                <w:szCs w:val="18"/>
              </w:rPr>
              <w:t>10.5%</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3F56353B" w14:textId="77777777" w:rsidR="00B25D6C" w:rsidRPr="00B25D6C" w:rsidRDefault="00B25D6C" w:rsidP="00B25D6C">
            <w:pPr>
              <w:jc w:val="center"/>
              <w:rPr>
                <w:sz w:val="18"/>
                <w:szCs w:val="18"/>
              </w:rPr>
            </w:pPr>
            <w:r w:rsidRPr="00B25D6C">
              <w:rPr>
                <w:sz w:val="18"/>
                <w:szCs w:val="18"/>
              </w:rPr>
              <w:t>3.2%</w:t>
            </w:r>
          </w:p>
        </w:tc>
      </w:tr>
      <w:tr w:rsidR="00B25D6C" w14:paraId="4EF313C1" w14:textId="77777777" w:rsidTr="00941608">
        <w:trPr>
          <w:trHeight w:hRule="exact" w:val="360"/>
        </w:trPr>
        <w:tc>
          <w:tcPr>
            <w:tcW w:w="2520" w:type="dxa"/>
            <w:tcBorders>
              <w:top w:val="single" w:sz="8" w:space="0" w:color="0067B9"/>
              <w:left w:val="nil"/>
              <w:bottom w:val="single" w:sz="8" w:space="0" w:color="0067B9"/>
              <w:right w:val="single" w:sz="8" w:space="0" w:color="0067B9"/>
            </w:tcBorders>
            <w:tcMar>
              <w:top w:w="43" w:type="dxa"/>
              <w:left w:w="43" w:type="dxa"/>
              <w:bottom w:w="43" w:type="dxa"/>
              <w:right w:w="43" w:type="dxa"/>
            </w:tcMar>
            <w:vAlign w:val="center"/>
          </w:tcPr>
          <w:p w14:paraId="13BEE83C" w14:textId="77777777" w:rsidR="00B25D6C" w:rsidRPr="00B25D6C" w:rsidRDefault="00B25D6C" w:rsidP="00B25D6C">
            <w:pPr>
              <w:pStyle w:val="BodyText"/>
              <w:spacing w:before="0"/>
              <w:jc w:val="center"/>
              <w:rPr>
                <w:rFonts w:ascii="Gill Sans MT" w:hAnsi="Gill Sans MT" w:cs="Arial"/>
                <w:color w:val="000000"/>
                <w:sz w:val="18"/>
                <w:szCs w:val="18"/>
              </w:rPr>
            </w:pPr>
            <w:r w:rsidRPr="00B25D6C">
              <w:rPr>
                <w:rFonts w:ascii="Gill Sans MT" w:hAnsi="Gill Sans MT" w:cs="Arial"/>
                <w:color w:val="000000"/>
                <w:sz w:val="18"/>
                <w:szCs w:val="18"/>
              </w:rPr>
              <w:t>Lao PDR</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1DE00EA1" w14:textId="77777777" w:rsidR="00B25D6C" w:rsidRPr="00B25D6C" w:rsidRDefault="00B25D6C" w:rsidP="00B25D6C">
            <w:pPr>
              <w:jc w:val="center"/>
              <w:rPr>
                <w:sz w:val="18"/>
                <w:szCs w:val="18"/>
              </w:rPr>
            </w:pPr>
            <w:r w:rsidRPr="00B25D6C">
              <w:rPr>
                <w:sz w:val="18"/>
                <w:szCs w:val="18"/>
              </w:rPr>
              <w:t>0.19%</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379DFF3F" w14:textId="77777777" w:rsidR="00B25D6C" w:rsidRPr="00B25D6C" w:rsidRDefault="00B25D6C" w:rsidP="00B25D6C">
            <w:pPr>
              <w:jc w:val="center"/>
              <w:rPr>
                <w:sz w:val="18"/>
                <w:szCs w:val="18"/>
              </w:rPr>
            </w:pPr>
            <w:r w:rsidRPr="00B25D6C">
              <w:rPr>
                <w:sz w:val="18"/>
                <w:szCs w:val="18"/>
              </w:rPr>
              <w:t>6.5%</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4355D5AD" w14:textId="77777777" w:rsidR="00B25D6C" w:rsidRPr="00B25D6C" w:rsidRDefault="00B25D6C" w:rsidP="00B25D6C">
            <w:pPr>
              <w:jc w:val="center"/>
              <w:rPr>
                <w:sz w:val="18"/>
                <w:szCs w:val="18"/>
              </w:rPr>
            </w:pPr>
            <w:r w:rsidRPr="00B25D6C">
              <w:rPr>
                <w:sz w:val="18"/>
                <w:szCs w:val="18"/>
              </w:rPr>
              <w:t>18.0%</w:t>
            </w:r>
          </w:p>
        </w:tc>
      </w:tr>
      <w:tr w:rsidR="00B25D6C" w14:paraId="74FB6DD3" w14:textId="77777777" w:rsidTr="00941608">
        <w:trPr>
          <w:trHeight w:hRule="exact" w:val="360"/>
        </w:trPr>
        <w:tc>
          <w:tcPr>
            <w:tcW w:w="2520" w:type="dxa"/>
            <w:tcBorders>
              <w:top w:val="single" w:sz="8" w:space="0" w:color="0067B9"/>
              <w:left w:val="nil"/>
              <w:bottom w:val="single" w:sz="8" w:space="0" w:color="0067B9"/>
              <w:right w:val="single" w:sz="8" w:space="0" w:color="0067B9"/>
            </w:tcBorders>
            <w:tcMar>
              <w:top w:w="43" w:type="dxa"/>
              <w:left w:w="43" w:type="dxa"/>
              <w:bottom w:w="43" w:type="dxa"/>
              <w:right w:w="43" w:type="dxa"/>
            </w:tcMar>
            <w:vAlign w:val="center"/>
          </w:tcPr>
          <w:p w14:paraId="5E49BF02" w14:textId="77777777" w:rsidR="00B25D6C" w:rsidRPr="00B25D6C" w:rsidRDefault="00B25D6C" w:rsidP="00B25D6C">
            <w:pPr>
              <w:pStyle w:val="BodyText"/>
              <w:spacing w:before="0"/>
              <w:jc w:val="center"/>
              <w:rPr>
                <w:rFonts w:ascii="Gill Sans MT" w:hAnsi="Gill Sans MT" w:cs="Arial"/>
                <w:color w:val="000000"/>
                <w:sz w:val="18"/>
                <w:szCs w:val="18"/>
              </w:rPr>
            </w:pPr>
            <w:r w:rsidRPr="00B25D6C">
              <w:rPr>
                <w:rFonts w:ascii="Gill Sans MT" w:hAnsi="Gill Sans MT" w:cs="Arial"/>
                <w:color w:val="000000"/>
                <w:sz w:val="18"/>
                <w:szCs w:val="18"/>
              </w:rPr>
              <w:t>Nepal</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4E319F25" w14:textId="77777777" w:rsidR="00B25D6C" w:rsidRPr="00B25D6C" w:rsidRDefault="00B25D6C" w:rsidP="00B25D6C">
            <w:pPr>
              <w:jc w:val="center"/>
              <w:rPr>
                <w:sz w:val="18"/>
                <w:szCs w:val="18"/>
              </w:rPr>
            </w:pPr>
            <w:r w:rsidRPr="00B25D6C">
              <w:rPr>
                <w:sz w:val="18"/>
                <w:szCs w:val="18"/>
              </w:rPr>
              <w:t>0.08%</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60B32C1A" w14:textId="77777777" w:rsidR="00B25D6C" w:rsidRPr="00B25D6C" w:rsidRDefault="00B25D6C" w:rsidP="00B25D6C">
            <w:pPr>
              <w:jc w:val="center"/>
              <w:rPr>
                <w:sz w:val="18"/>
                <w:szCs w:val="18"/>
              </w:rPr>
            </w:pPr>
            <w:r w:rsidRPr="00B25D6C">
              <w:rPr>
                <w:sz w:val="18"/>
                <w:szCs w:val="18"/>
              </w:rPr>
              <w:t>2.1%</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54AFBD3B" w14:textId="77777777" w:rsidR="00B25D6C" w:rsidRPr="00B25D6C" w:rsidRDefault="00B25D6C" w:rsidP="00B25D6C">
            <w:pPr>
              <w:jc w:val="center"/>
              <w:rPr>
                <w:sz w:val="18"/>
                <w:szCs w:val="18"/>
              </w:rPr>
            </w:pPr>
            <w:r w:rsidRPr="00B25D6C">
              <w:rPr>
                <w:sz w:val="18"/>
                <w:szCs w:val="18"/>
              </w:rPr>
              <w:t>36.1%</w:t>
            </w:r>
          </w:p>
        </w:tc>
      </w:tr>
      <w:tr w:rsidR="00B25D6C" w14:paraId="23C2E07C" w14:textId="77777777" w:rsidTr="00941608">
        <w:trPr>
          <w:trHeight w:hRule="exact" w:val="360"/>
        </w:trPr>
        <w:tc>
          <w:tcPr>
            <w:tcW w:w="2520" w:type="dxa"/>
            <w:tcBorders>
              <w:top w:val="single" w:sz="8" w:space="0" w:color="0067B9"/>
              <w:left w:val="nil"/>
              <w:bottom w:val="single" w:sz="8" w:space="0" w:color="0067B9"/>
              <w:right w:val="single" w:sz="8" w:space="0" w:color="0067B9"/>
            </w:tcBorders>
            <w:tcMar>
              <w:top w:w="43" w:type="dxa"/>
              <w:left w:w="43" w:type="dxa"/>
              <w:bottom w:w="43" w:type="dxa"/>
              <w:right w:w="43" w:type="dxa"/>
            </w:tcMar>
            <w:vAlign w:val="center"/>
          </w:tcPr>
          <w:p w14:paraId="6CB13F58" w14:textId="77777777" w:rsidR="00B25D6C" w:rsidRPr="00B25D6C" w:rsidRDefault="00B25D6C" w:rsidP="00B25D6C">
            <w:pPr>
              <w:pStyle w:val="BodyText"/>
              <w:spacing w:before="0"/>
              <w:jc w:val="center"/>
              <w:rPr>
                <w:rFonts w:ascii="Gill Sans MT" w:hAnsi="Gill Sans MT" w:cs="Arial"/>
                <w:color w:val="000000"/>
                <w:sz w:val="18"/>
                <w:szCs w:val="18"/>
              </w:rPr>
            </w:pPr>
            <w:r w:rsidRPr="00B25D6C">
              <w:rPr>
                <w:rFonts w:ascii="Gill Sans MT" w:hAnsi="Gill Sans MT" w:cs="Arial"/>
                <w:color w:val="000000"/>
                <w:sz w:val="18"/>
                <w:szCs w:val="18"/>
              </w:rPr>
              <w:t>Philippines</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66D8115F" w14:textId="77777777" w:rsidR="00B25D6C" w:rsidRPr="00B25D6C" w:rsidRDefault="00B25D6C" w:rsidP="00B25D6C">
            <w:pPr>
              <w:jc w:val="center"/>
              <w:rPr>
                <w:sz w:val="18"/>
                <w:szCs w:val="18"/>
              </w:rPr>
            </w:pPr>
            <w:r w:rsidRPr="00B25D6C">
              <w:rPr>
                <w:sz w:val="18"/>
                <w:szCs w:val="18"/>
              </w:rPr>
              <w:t>No data</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0A1F53D7" w14:textId="77777777" w:rsidR="00B25D6C" w:rsidRPr="00B25D6C" w:rsidRDefault="00B25D6C" w:rsidP="00B25D6C">
            <w:pPr>
              <w:jc w:val="center"/>
              <w:rPr>
                <w:sz w:val="18"/>
                <w:szCs w:val="18"/>
              </w:rPr>
            </w:pPr>
            <w:r w:rsidRPr="00B25D6C">
              <w:rPr>
                <w:sz w:val="18"/>
                <w:szCs w:val="18"/>
              </w:rPr>
              <w:t>No data</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6EE008EA" w14:textId="77777777" w:rsidR="00B25D6C" w:rsidRPr="00B25D6C" w:rsidRDefault="00B25D6C" w:rsidP="00B25D6C">
            <w:pPr>
              <w:jc w:val="center"/>
              <w:rPr>
                <w:sz w:val="18"/>
                <w:szCs w:val="18"/>
              </w:rPr>
            </w:pPr>
            <w:r w:rsidRPr="00B25D6C">
              <w:rPr>
                <w:sz w:val="18"/>
                <w:szCs w:val="18"/>
              </w:rPr>
              <w:t>18.0%</w:t>
            </w:r>
          </w:p>
        </w:tc>
      </w:tr>
      <w:tr w:rsidR="00B25D6C" w14:paraId="7362EC63" w14:textId="77777777" w:rsidTr="00941608">
        <w:trPr>
          <w:trHeight w:hRule="exact" w:val="360"/>
        </w:trPr>
        <w:tc>
          <w:tcPr>
            <w:tcW w:w="2520" w:type="dxa"/>
            <w:tcBorders>
              <w:top w:val="single" w:sz="8" w:space="0" w:color="0067B9"/>
              <w:left w:val="nil"/>
              <w:bottom w:val="single" w:sz="8" w:space="0" w:color="0067B9"/>
              <w:right w:val="single" w:sz="8" w:space="0" w:color="0067B9"/>
            </w:tcBorders>
            <w:tcMar>
              <w:top w:w="43" w:type="dxa"/>
              <w:left w:w="43" w:type="dxa"/>
              <w:bottom w:w="43" w:type="dxa"/>
              <w:right w:w="43" w:type="dxa"/>
            </w:tcMar>
            <w:vAlign w:val="center"/>
          </w:tcPr>
          <w:p w14:paraId="062AC90C" w14:textId="77777777" w:rsidR="00B25D6C" w:rsidRPr="00B25D6C" w:rsidRDefault="00B25D6C" w:rsidP="00B25D6C">
            <w:pPr>
              <w:pStyle w:val="BodyText"/>
              <w:spacing w:before="0"/>
              <w:jc w:val="center"/>
              <w:rPr>
                <w:rFonts w:ascii="Gill Sans MT" w:hAnsi="Gill Sans MT" w:cs="Arial"/>
                <w:color w:val="000000"/>
                <w:sz w:val="18"/>
                <w:szCs w:val="18"/>
              </w:rPr>
            </w:pPr>
            <w:r w:rsidRPr="00B25D6C">
              <w:rPr>
                <w:rFonts w:ascii="Gill Sans MT" w:hAnsi="Gill Sans MT" w:cs="Arial"/>
                <w:color w:val="000000"/>
                <w:sz w:val="18"/>
                <w:szCs w:val="18"/>
              </w:rPr>
              <w:t>Tajikistan</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326F763A" w14:textId="77777777" w:rsidR="00B25D6C" w:rsidRPr="00B25D6C" w:rsidRDefault="00B25D6C" w:rsidP="00B25D6C">
            <w:pPr>
              <w:jc w:val="center"/>
              <w:rPr>
                <w:sz w:val="18"/>
                <w:szCs w:val="18"/>
              </w:rPr>
            </w:pPr>
            <w:r w:rsidRPr="00B25D6C">
              <w:rPr>
                <w:sz w:val="18"/>
                <w:szCs w:val="18"/>
              </w:rPr>
              <w:t>0.28%</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791750A1" w14:textId="77777777" w:rsidR="00B25D6C" w:rsidRPr="00B25D6C" w:rsidRDefault="00B25D6C" w:rsidP="00B25D6C">
            <w:pPr>
              <w:jc w:val="center"/>
              <w:rPr>
                <w:sz w:val="18"/>
                <w:szCs w:val="18"/>
              </w:rPr>
            </w:pPr>
            <w:r w:rsidRPr="00B25D6C">
              <w:rPr>
                <w:sz w:val="18"/>
                <w:szCs w:val="18"/>
              </w:rPr>
              <w:t>5.3%</w:t>
            </w:r>
          </w:p>
        </w:tc>
        <w:tc>
          <w:tcPr>
            <w:tcW w:w="2280" w:type="dxa"/>
            <w:tcBorders>
              <w:top w:val="single" w:sz="8" w:space="0" w:color="0067B9"/>
              <w:left w:val="single" w:sz="8" w:space="0" w:color="0067B9"/>
              <w:bottom w:val="single" w:sz="8" w:space="0" w:color="0067B9"/>
              <w:right w:val="single" w:sz="8" w:space="0" w:color="0067B9"/>
            </w:tcBorders>
            <w:tcMar>
              <w:top w:w="43" w:type="dxa"/>
              <w:left w:w="43" w:type="dxa"/>
              <w:bottom w:w="43" w:type="dxa"/>
              <w:right w:w="43" w:type="dxa"/>
            </w:tcMar>
            <w:vAlign w:val="center"/>
          </w:tcPr>
          <w:p w14:paraId="0E7D2E39" w14:textId="77777777" w:rsidR="00B25D6C" w:rsidRPr="00B25D6C" w:rsidRDefault="00B25D6C" w:rsidP="00B25D6C">
            <w:pPr>
              <w:jc w:val="center"/>
              <w:rPr>
                <w:sz w:val="18"/>
                <w:szCs w:val="18"/>
              </w:rPr>
            </w:pPr>
            <w:r w:rsidRPr="00B25D6C">
              <w:rPr>
                <w:sz w:val="18"/>
                <w:szCs w:val="18"/>
              </w:rPr>
              <w:t>No data</w:t>
            </w:r>
          </w:p>
        </w:tc>
      </w:tr>
      <w:tr w:rsidR="00B25D6C" w14:paraId="5F49FAA7" w14:textId="77777777" w:rsidTr="00941608">
        <w:trPr>
          <w:trHeight w:hRule="exact" w:val="360"/>
        </w:trPr>
        <w:tc>
          <w:tcPr>
            <w:tcW w:w="2520" w:type="dxa"/>
            <w:tcBorders>
              <w:top w:val="single" w:sz="8" w:space="0" w:color="0067B9"/>
              <w:left w:val="nil"/>
              <w:bottom w:val="single" w:sz="18" w:space="0" w:color="0067B9"/>
              <w:right w:val="single" w:sz="8" w:space="0" w:color="0067B9"/>
            </w:tcBorders>
            <w:tcMar>
              <w:top w:w="43" w:type="dxa"/>
              <w:left w:w="43" w:type="dxa"/>
              <w:bottom w:w="43" w:type="dxa"/>
              <w:right w:w="43" w:type="dxa"/>
            </w:tcMar>
            <w:vAlign w:val="center"/>
          </w:tcPr>
          <w:p w14:paraId="35138E32" w14:textId="77777777" w:rsidR="00B25D6C" w:rsidRPr="00B25D6C" w:rsidRDefault="00B25D6C" w:rsidP="00B25D6C">
            <w:pPr>
              <w:pStyle w:val="BodyText"/>
              <w:keepNext/>
              <w:spacing w:before="0"/>
              <w:jc w:val="center"/>
              <w:rPr>
                <w:rFonts w:ascii="Gill Sans MT" w:hAnsi="Gill Sans MT" w:cs="Arial"/>
                <w:color w:val="000000"/>
                <w:sz w:val="18"/>
                <w:szCs w:val="18"/>
              </w:rPr>
            </w:pPr>
            <w:r w:rsidRPr="00B25D6C">
              <w:rPr>
                <w:rFonts w:ascii="Gill Sans MT" w:hAnsi="Gill Sans MT" w:cs="Arial"/>
                <w:color w:val="000000"/>
                <w:sz w:val="18"/>
                <w:szCs w:val="18"/>
              </w:rPr>
              <w:t>Vietnam</w:t>
            </w:r>
          </w:p>
        </w:tc>
        <w:tc>
          <w:tcPr>
            <w:tcW w:w="2280" w:type="dxa"/>
            <w:tcBorders>
              <w:top w:val="single" w:sz="8" w:space="0" w:color="0067B9"/>
              <w:left w:val="single" w:sz="8" w:space="0" w:color="0067B9"/>
              <w:bottom w:val="single" w:sz="18" w:space="0" w:color="0067B9"/>
              <w:right w:val="single" w:sz="8" w:space="0" w:color="0067B9"/>
            </w:tcBorders>
            <w:tcMar>
              <w:top w:w="43" w:type="dxa"/>
              <w:left w:w="43" w:type="dxa"/>
              <w:bottom w:w="43" w:type="dxa"/>
              <w:right w:w="43" w:type="dxa"/>
            </w:tcMar>
            <w:vAlign w:val="center"/>
          </w:tcPr>
          <w:p w14:paraId="4A42F44C" w14:textId="77777777" w:rsidR="00B25D6C" w:rsidRPr="00B25D6C" w:rsidRDefault="00B25D6C" w:rsidP="00B25D6C">
            <w:pPr>
              <w:jc w:val="center"/>
              <w:rPr>
                <w:sz w:val="18"/>
                <w:szCs w:val="18"/>
              </w:rPr>
            </w:pPr>
            <w:r w:rsidRPr="00B25D6C">
              <w:rPr>
                <w:sz w:val="18"/>
                <w:szCs w:val="18"/>
              </w:rPr>
              <w:t>0.89%</w:t>
            </w:r>
          </w:p>
        </w:tc>
        <w:tc>
          <w:tcPr>
            <w:tcW w:w="2280" w:type="dxa"/>
            <w:tcBorders>
              <w:top w:val="single" w:sz="8" w:space="0" w:color="0067B9"/>
              <w:left w:val="single" w:sz="8" w:space="0" w:color="0067B9"/>
              <w:bottom w:val="single" w:sz="18" w:space="0" w:color="0067B9"/>
              <w:right w:val="single" w:sz="8" w:space="0" w:color="0067B9"/>
            </w:tcBorders>
            <w:tcMar>
              <w:top w:w="43" w:type="dxa"/>
              <w:left w:w="43" w:type="dxa"/>
              <w:bottom w:w="43" w:type="dxa"/>
              <w:right w:w="43" w:type="dxa"/>
            </w:tcMar>
            <w:vAlign w:val="center"/>
          </w:tcPr>
          <w:p w14:paraId="05A2E32D" w14:textId="77777777" w:rsidR="00B25D6C" w:rsidRPr="00B25D6C" w:rsidRDefault="00B25D6C" w:rsidP="00B25D6C">
            <w:pPr>
              <w:jc w:val="center"/>
              <w:rPr>
                <w:sz w:val="18"/>
                <w:szCs w:val="18"/>
              </w:rPr>
            </w:pPr>
            <w:r w:rsidRPr="00B25D6C">
              <w:rPr>
                <w:sz w:val="18"/>
                <w:szCs w:val="18"/>
              </w:rPr>
              <w:t>15.3%</w:t>
            </w:r>
          </w:p>
        </w:tc>
        <w:tc>
          <w:tcPr>
            <w:tcW w:w="2280" w:type="dxa"/>
            <w:tcBorders>
              <w:top w:val="single" w:sz="8" w:space="0" w:color="0067B9"/>
              <w:left w:val="single" w:sz="8" w:space="0" w:color="0067B9"/>
              <w:bottom w:val="single" w:sz="18" w:space="0" w:color="0067B9"/>
              <w:right w:val="single" w:sz="8" w:space="0" w:color="0067B9"/>
            </w:tcBorders>
            <w:tcMar>
              <w:top w:w="43" w:type="dxa"/>
              <w:left w:w="43" w:type="dxa"/>
              <w:bottom w:w="43" w:type="dxa"/>
              <w:right w:w="43" w:type="dxa"/>
            </w:tcMar>
            <w:vAlign w:val="center"/>
          </w:tcPr>
          <w:p w14:paraId="54F1E779" w14:textId="77777777" w:rsidR="00B25D6C" w:rsidRPr="00B25D6C" w:rsidRDefault="00B25D6C" w:rsidP="00B25D6C">
            <w:pPr>
              <w:jc w:val="center"/>
              <w:rPr>
                <w:sz w:val="18"/>
                <w:szCs w:val="18"/>
              </w:rPr>
            </w:pPr>
            <w:r w:rsidRPr="00B25D6C">
              <w:rPr>
                <w:sz w:val="18"/>
                <w:szCs w:val="18"/>
              </w:rPr>
              <w:t>12.8%</w:t>
            </w:r>
          </w:p>
        </w:tc>
      </w:tr>
    </w:tbl>
    <w:p w14:paraId="3D68B913" w14:textId="77777777" w:rsidR="001704C3" w:rsidRDefault="001704C3" w:rsidP="001704C3">
      <w:pPr>
        <w:pStyle w:val="ExhibitTitle"/>
        <w:pBdr>
          <w:top w:val="single" w:sz="18" w:space="1" w:color="BA0C2F"/>
        </w:pBdr>
      </w:pPr>
      <w:r>
        <w:t>Recommendations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400"/>
      </w:tblGrid>
      <w:tr w:rsidR="001704C3" w14:paraId="130DB495" w14:textId="77777777" w:rsidTr="00D30DD5">
        <w:tc>
          <w:tcPr>
            <w:tcW w:w="3955" w:type="dxa"/>
            <w:shd w:val="clear" w:color="auto" w:fill="D9D9D9" w:themeFill="background1" w:themeFillShade="D9"/>
            <w:tcMar>
              <w:top w:w="43" w:type="dxa"/>
              <w:left w:w="72" w:type="dxa"/>
              <w:bottom w:w="43" w:type="dxa"/>
              <w:right w:w="72" w:type="dxa"/>
            </w:tcMar>
          </w:tcPr>
          <w:p w14:paraId="7590E989" w14:textId="77777777" w:rsidR="001704C3" w:rsidRPr="00553731" w:rsidRDefault="001704C3" w:rsidP="00B52B0C">
            <w:pPr>
              <w:pStyle w:val="TableColHead"/>
            </w:pPr>
            <w:r w:rsidRPr="00553731">
              <w:t>Analysis</w:t>
            </w:r>
          </w:p>
        </w:tc>
        <w:tc>
          <w:tcPr>
            <w:tcW w:w="5400" w:type="dxa"/>
            <w:shd w:val="clear" w:color="auto" w:fill="D9D9D9" w:themeFill="background1" w:themeFillShade="D9"/>
            <w:tcMar>
              <w:top w:w="43" w:type="dxa"/>
              <w:left w:w="72" w:type="dxa"/>
              <w:bottom w:w="43" w:type="dxa"/>
              <w:right w:w="72" w:type="dxa"/>
            </w:tcMar>
          </w:tcPr>
          <w:p w14:paraId="535C3297" w14:textId="77777777" w:rsidR="001704C3" w:rsidRDefault="001704C3" w:rsidP="00B52B0C">
            <w:pPr>
              <w:pStyle w:val="TableColHead"/>
            </w:pPr>
            <w:r w:rsidRPr="00553731">
              <w:t>Recommendations</w:t>
            </w:r>
          </w:p>
        </w:tc>
      </w:tr>
      <w:tr w:rsidR="001704C3" w14:paraId="73A1DE5F" w14:textId="77777777" w:rsidTr="00D30DD5">
        <w:tc>
          <w:tcPr>
            <w:tcW w:w="3955" w:type="dxa"/>
            <w:shd w:val="clear" w:color="auto" w:fill="D9D9D9" w:themeFill="background1" w:themeFillShade="D9"/>
            <w:tcMar>
              <w:top w:w="43" w:type="dxa"/>
              <w:left w:w="72" w:type="dxa"/>
              <w:bottom w:w="43" w:type="dxa"/>
              <w:right w:w="72" w:type="dxa"/>
            </w:tcMar>
          </w:tcPr>
          <w:p w14:paraId="482DBC3F" w14:textId="77777777" w:rsidR="001704C3" w:rsidRPr="004E2F12" w:rsidRDefault="001704C3" w:rsidP="00B52B0C">
            <w:pPr>
              <w:pStyle w:val="Tableceltext"/>
              <w:rPr>
                <w:sz w:val="18"/>
                <w:szCs w:val="18"/>
              </w:rPr>
            </w:pPr>
            <w:r w:rsidRPr="004E2F12">
              <w:rPr>
                <w:rFonts w:cs="Times New Roman"/>
                <w:sz w:val="18"/>
                <w:szCs w:val="18"/>
              </w:rPr>
              <w:t>The degree of government spending on ECE does not always translate into progressive provision or sound stewardship.</w:t>
            </w:r>
            <w:r w:rsidRPr="004E2F12">
              <w:rPr>
                <w:sz w:val="18"/>
                <w:szCs w:val="18"/>
                <w:lang w:bidi="th-TH"/>
              </w:rPr>
              <w:t xml:space="preserve"> Countries with more modest levels of government spending on ECE may still practice progressive programming.</w:t>
            </w:r>
          </w:p>
        </w:tc>
        <w:tc>
          <w:tcPr>
            <w:tcW w:w="5400" w:type="dxa"/>
            <w:shd w:val="clear" w:color="auto" w:fill="D9D9D9" w:themeFill="background1" w:themeFillShade="D9"/>
            <w:tcMar>
              <w:top w:w="43" w:type="dxa"/>
              <w:left w:w="72" w:type="dxa"/>
              <w:bottom w:w="43" w:type="dxa"/>
              <w:right w:w="72" w:type="dxa"/>
            </w:tcMar>
          </w:tcPr>
          <w:p w14:paraId="1D9B8DF6" w14:textId="7E4497F4" w:rsidR="001704C3" w:rsidRPr="004E2F12" w:rsidRDefault="001704C3" w:rsidP="00B52B0C">
            <w:pPr>
              <w:pStyle w:val="Tableceltext"/>
              <w:rPr>
                <w:sz w:val="18"/>
                <w:szCs w:val="18"/>
              </w:rPr>
            </w:pPr>
            <w:r w:rsidRPr="004E2F12">
              <w:rPr>
                <w:sz w:val="18"/>
                <w:szCs w:val="18"/>
              </w:rPr>
              <w:t>Both government and non</w:t>
            </w:r>
            <w:r w:rsidR="007D5903">
              <w:rPr>
                <w:sz w:val="18"/>
                <w:szCs w:val="18"/>
              </w:rPr>
              <w:t>government</w:t>
            </w:r>
            <w:r w:rsidRPr="004E2F12">
              <w:rPr>
                <w:sz w:val="18"/>
                <w:szCs w:val="18"/>
              </w:rPr>
              <w:t xml:space="preserve"> financing through block grants, conditional cash transfers, and community-based approaches have been applied in limited but promising efforts to orient resources in a progressive manner</w:t>
            </w:r>
            <w:r>
              <w:rPr>
                <w:sz w:val="18"/>
                <w:szCs w:val="18"/>
              </w:rPr>
              <w:t>.</w:t>
            </w:r>
          </w:p>
        </w:tc>
      </w:tr>
    </w:tbl>
    <w:p w14:paraId="3421AF83" w14:textId="0575DE62" w:rsidR="004341EE" w:rsidRDefault="00B25D6C" w:rsidP="004341EE">
      <w:pPr>
        <w:pStyle w:val="Heading2"/>
        <w:rPr>
          <w:noProof/>
        </w:rPr>
      </w:pPr>
      <w:r>
        <w:rPr>
          <w:noProof/>
        </w:rPr>
        <w:t>ece governance</w:t>
      </w:r>
    </w:p>
    <w:p w14:paraId="0B56FC13" w14:textId="47B8F115" w:rsidR="00630647" w:rsidRDefault="00630647" w:rsidP="00630647">
      <w:r w:rsidRPr="00C31BAF">
        <w:t>Effective governance is key in ECE work, particularly since multiple actors are often involved, including multiple ministries (</w:t>
      </w:r>
      <w:r w:rsidR="005B1460" w:rsidRPr="00C31BAF">
        <w:t>education, health, family, women and children, social services</w:t>
      </w:r>
      <w:r w:rsidR="005B1460">
        <w:t>, etc.</w:t>
      </w:r>
      <w:r w:rsidR="005B1460" w:rsidRPr="00C31BAF">
        <w:t xml:space="preserve">) </w:t>
      </w:r>
      <w:r w:rsidRPr="00C31BAF">
        <w:t xml:space="preserve">and a wide range of providers, from home-based and community operations to NGOs, public and private sector establishments, and places of work (UNESCO, 2016). </w:t>
      </w:r>
    </w:p>
    <w:p w14:paraId="23112352" w14:textId="77777777" w:rsidR="00630647" w:rsidRDefault="00630647" w:rsidP="00630647">
      <w:r w:rsidRPr="00C31BAF">
        <w:t>Delivering quality ECE to more and more children</w:t>
      </w:r>
      <w:r>
        <w:t xml:space="preserve"> </w:t>
      </w:r>
      <w:r w:rsidRPr="00C31BAF">
        <w:t>demands</w:t>
      </w:r>
      <w:r>
        <w:t xml:space="preserve"> the following: </w:t>
      </w:r>
    </w:p>
    <w:p w14:paraId="6384C007" w14:textId="77777777" w:rsidR="00630647" w:rsidRPr="00630647" w:rsidRDefault="00630647" w:rsidP="00630647">
      <w:pPr>
        <w:pStyle w:val="ListParagraph"/>
        <w:numPr>
          <w:ilvl w:val="0"/>
          <w:numId w:val="32"/>
        </w:numPr>
        <w:rPr>
          <w:rFonts w:ascii="Gill Sans MT" w:hAnsi="Gill Sans MT"/>
          <w:color w:val="595959" w:themeColor="text1" w:themeTint="A6"/>
        </w:rPr>
      </w:pPr>
      <w:r w:rsidRPr="00630647">
        <w:rPr>
          <w:rFonts w:ascii="Gill Sans MT" w:hAnsi="Gill Sans MT"/>
          <w:color w:val="595959" w:themeColor="text1" w:themeTint="A6"/>
        </w:rPr>
        <w:t>Sound decisions relating to standards, objectives, and programs that are both technically and contextually appropriate</w:t>
      </w:r>
    </w:p>
    <w:p w14:paraId="76C7B211" w14:textId="77777777" w:rsidR="00630647" w:rsidRPr="00630647" w:rsidRDefault="00630647" w:rsidP="00630647">
      <w:pPr>
        <w:pStyle w:val="ListParagraph"/>
        <w:numPr>
          <w:ilvl w:val="0"/>
          <w:numId w:val="32"/>
        </w:numPr>
        <w:rPr>
          <w:rFonts w:ascii="Gill Sans MT" w:hAnsi="Gill Sans MT"/>
          <w:color w:val="595959" w:themeColor="text1" w:themeTint="A6"/>
        </w:rPr>
      </w:pPr>
      <w:r w:rsidRPr="00630647">
        <w:rPr>
          <w:rFonts w:ascii="Gill Sans MT" w:hAnsi="Gill Sans MT"/>
          <w:color w:val="595959" w:themeColor="text1" w:themeTint="A6"/>
        </w:rPr>
        <w:t xml:space="preserve">Effective oversight of the observance of standards, with appropriate follow-through </w:t>
      </w:r>
    </w:p>
    <w:p w14:paraId="66073B19" w14:textId="1D057D1C" w:rsidR="00630647" w:rsidRPr="00630647" w:rsidRDefault="00F50D1F" w:rsidP="00630647">
      <w:pPr>
        <w:pStyle w:val="ListParagraph"/>
        <w:numPr>
          <w:ilvl w:val="0"/>
          <w:numId w:val="32"/>
        </w:numPr>
        <w:rPr>
          <w:rFonts w:ascii="Gill Sans MT" w:hAnsi="Gill Sans MT"/>
          <w:color w:val="595959" w:themeColor="text1" w:themeTint="A6"/>
        </w:rPr>
      </w:pPr>
      <w:r>
        <w:rPr>
          <w:rFonts w:ascii="Gill Sans MT" w:hAnsi="Gill Sans MT"/>
          <w:color w:val="595959" w:themeColor="text1" w:themeTint="A6"/>
        </w:rPr>
        <w:t>Planned and careful</w:t>
      </w:r>
      <w:r w:rsidRPr="00630647">
        <w:rPr>
          <w:rFonts w:ascii="Gill Sans MT" w:hAnsi="Gill Sans MT"/>
          <w:color w:val="595959" w:themeColor="text1" w:themeTint="A6"/>
        </w:rPr>
        <w:t xml:space="preserve"> </w:t>
      </w:r>
      <w:r w:rsidR="00630647" w:rsidRPr="00630647">
        <w:rPr>
          <w:rFonts w:ascii="Gill Sans MT" w:hAnsi="Gill Sans MT"/>
          <w:color w:val="595959" w:themeColor="text1" w:themeTint="A6"/>
        </w:rPr>
        <w:t xml:space="preserve">coordination of the resources and actions of the range of actors and stakeholders </w:t>
      </w:r>
    </w:p>
    <w:p w14:paraId="3E7310EA" w14:textId="77777777" w:rsidR="00630647" w:rsidRPr="00C31BAF" w:rsidRDefault="00630647" w:rsidP="00630647">
      <w:r>
        <w:t>The following table presents the various governance structures that are in involved in the decision making and oversight of ECE in the respective countries.</w:t>
      </w:r>
    </w:p>
    <w:p w14:paraId="5F5CAAE3" w14:textId="0F09A383" w:rsidR="0097714C" w:rsidRDefault="0097714C" w:rsidP="0097714C">
      <w:pPr>
        <w:pStyle w:val="ExhibitTitle"/>
      </w:pPr>
      <w:r>
        <w:t xml:space="preserve">Governance </w:t>
      </w:r>
      <w:r w:rsidR="009A79A6">
        <w:t xml:space="preserve">Structures </w:t>
      </w:r>
      <w:r w:rsidR="003D326A">
        <w:t>That Oversee</w:t>
      </w:r>
      <w:r w:rsidR="009A79A6">
        <w:t xml:space="preserve"> </w:t>
      </w:r>
      <w:r>
        <w:t xml:space="preserve">ECE </w:t>
      </w:r>
      <w:r w:rsidR="009A79A6">
        <w:t xml:space="preserve">Decisions </w:t>
      </w:r>
    </w:p>
    <w:tbl>
      <w:tblPr>
        <w:tblStyle w:val="TableGrid"/>
        <w:tblW w:w="9360" w:type="dxa"/>
        <w:tblLook w:val="04A0" w:firstRow="1" w:lastRow="0" w:firstColumn="1" w:lastColumn="0" w:noHBand="0" w:noVBand="1"/>
      </w:tblPr>
      <w:tblGrid>
        <w:gridCol w:w="2070"/>
        <w:gridCol w:w="7290"/>
      </w:tblGrid>
      <w:tr w:rsidR="0097714C" w14:paraId="1352AEA7" w14:textId="77777777" w:rsidTr="00630647">
        <w:trPr>
          <w:trHeight w:val="272"/>
        </w:trPr>
        <w:tc>
          <w:tcPr>
            <w:tcW w:w="2070" w:type="dxa"/>
            <w:tcBorders>
              <w:top w:val="single" w:sz="18" w:space="0" w:color="0067B9"/>
              <w:left w:val="nil"/>
              <w:bottom w:val="single" w:sz="18" w:space="0" w:color="0067B9"/>
              <w:right w:val="single" w:sz="8" w:space="0" w:color="0067B9"/>
            </w:tcBorders>
            <w:tcMar>
              <w:top w:w="43" w:type="dxa"/>
              <w:left w:w="72" w:type="dxa"/>
              <w:bottom w:w="43" w:type="dxa"/>
              <w:right w:w="72" w:type="dxa"/>
            </w:tcMar>
            <w:vAlign w:val="bottom"/>
          </w:tcPr>
          <w:p w14:paraId="0114A40E" w14:textId="77777777" w:rsidR="0097714C" w:rsidRPr="0097714C" w:rsidRDefault="0097714C" w:rsidP="00B705BB">
            <w:pPr>
              <w:pStyle w:val="TableColHead"/>
              <w:rPr>
                <w:sz w:val="18"/>
                <w:szCs w:val="18"/>
              </w:rPr>
            </w:pPr>
            <w:r w:rsidRPr="0097714C">
              <w:rPr>
                <w:sz w:val="18"/>
                <w:szCs w:val="18"/>
              </w:rPr>
              <w:t>Country</w:t>
            </w:r>
          </w:p>
        </w:tc>
        <w:tc>
          <w:tcPr>
            <w:tcW w:w="7290" w:type="dxa"/>
            <w:tcBorders>
              <w:top w:val="single" w:sz="18" w:space="0" w:color="0067B9"/>
              <w:left w:val="single" w:sz="8" w:space="0" w:color="0067B9"/>
              <w:bottom w:val="single" w:sz="18" w:space="0" w:color="0067B9"/>
              <w:right w:val="single" w:sz="8" w:space="0" w:color="0067B9"/>
            </w:tcBorders>
            <w:tcMar>
              <w:top w:w="43" w:type="dxa"/>
              <w:left w:w="72" w:type="dxa"/>
              <w:bottom w:w="43" w:type="dxa"/>
              <w:right w:w="72" w:type="dxa"/>
            </w:tcMar>
            <w:vAlign w:val="bottom"/>
          </w:tcPr>
          <w:p w14:paraId="0FE65B8B" w14:textId="77777777" w:rsidR="0097714C" w:rsidRPr="0097714C" w:rsidRDefault="0097714C" w:rsidP="00B705BB">
            <w:pPr>
              <w:pStyle w:val="TableColHead"/>
              <w:rPr>
                <w:sz w:val="18"/>
                <w:szCs w:val="18"/>
              </w:rPr>
            </w:pPr>
            <w:r w:rsidRPr="0097714C">
              <w:rPr>
                <w:sz w:val="18"/>
                <w:szCs w:val="18"/>
              </w:rPr>
              <w:t>Governance Structure for ECE</w:t>
            </w:r>
          </w:p>
        </w:tc>
      </w:tr>
      <w:tr w:rsidR="0097714C" w14:paraId="4CBD840C" w14:textId="77777777" w:rsidTr="00630647">
        <w:tc>
          <w:tcPr>
            <w:tcW w:w="2070" w:type="dxa"/>
            <w:tcBorders>
              <w:top w:val="single" w:sz="8" w:space="0" w:color="0067B9"/>
              <w:left w:val="nil"/>
              <w:bottom w:val="single" w:sz="8" w:space="0" w:color="0067B9"/>
              <w:right w:val="single" w:sz="8" w:space="0" w:color="0067B9"/>
            </w:tcBorders>
            <w:tcMar>
              <w:top w:w="43" w:type="dxa"/>
              <w:left w:w="72" w:type="dxa"/>
              <w:bottom w:w="43" w:type="dxa"/>
              <w:right w:w="72" w:type="dxa"/>
            </w:tcMar>
          </w:tcPr>
          <w:p w14:paraId="660302C3" w14:textId="77777777" w:rsidR="0097714C" w:rsidRPr="00D06599" w:rsidRDefault="0097714C" w:rsidP="0097714C">
            <w:pPr>
              <w:pStyle w:val="TableText"/>
              <w:rPr>
                <w:rFonts w:ascii="Gill Sans MT" w:hAnsi="Gill Sans MT"/>
                <w:color w:val="808080" w:themeColor="background1" w:themeShade="80"/>
                <w:szCs w:val="18"/>
              </w:rPr>
            </w:pPr>
            <w:r w:rsidRPr="00D06599">
              <w:rPr>
                <w:rFonts w:ascii="Gill Sans MT" w:hAnsi="Gill Sans MT"/>
                <w:color w:val="808080" w:themeColor="background1" w:themeShade="80"/>
                <w:szCs w:val="18"/>
              </w:rPr>
              <w:t>Bangladesh</w:t>
            </w:r>
          </w:p>
        </w:tc>
        <w:tc>
          <w:tcPr>
            <w:tcW w:w="7290" w:type="dxa"/>
            <w:tcBorders>
              <w:top w:val="single" w:sz="8" w:space="0" w:color="0067B9"/>
              <w:left w:val="single" w:sz="8" w:space="0" w:color="0067B9"/>
              <w:bottom w:val="single" w:sz="8" w:space="0" w:color="0067B9"/>
              <w:right w:val="single" w:sz="8" w:space="0" w:color="0067B9"/>
            </w:tcBorders>
            <w:tcMar>
              <w:top w:w="43" w:type="dxa"/>
              <w:left w:w="72" w:type="dxa"/>
              <w:bottom w:w="43" w:type="dxa"/>
              <w:right w:w="72" w:type="dxa"/>
            </w:tcMar>
          </w:tcPr>
          <w:p w14:paraId="1C8DDCFA" w14:textId="7FD28060" w:rsidR="0097714C" w:rsidRPr="00D06599" w:rsidRDefault="0097714C" w:rsidP="0097714C">
            <w:pPr>
              <w:pStyle w:val="TableText"/>
              <w:spacing w:line="240" w:lineRule="auto"/>
              <w:rPr>
                <w:rFonts w:ascii="Gill Sans MT" w:hAnsi="Gill Sans MT" w:cs="Lato-Light"/>
                <w:color w:val="808080" w:themeColor="background1" w:themeShade="80"/>
                <w:szCs w:val="18"/>
              </w:rPr>
            </w:pPr>
            <w:r w:rsidRPr="00D06599">
              <w:rPr>
                <w:rFonts w:ascii="Gill Sans MT" w:hAnsi="Gill Sans MT" w:cs="Lato-Light"/>
                <w:color w:val="808080" w:themeColor="background1" w:themeShade="80"/>
                <w:szCs w:val="18"/>
              </w:rPr>
              <w:t xml:space="preserve">Ministry of Primary and Mass Education </w:t>
            </w:r>
          </w:p>
          <w:p w14:paraId="096334CC" w14:textId="4993CE06" w:rsidR="0097714C" w:rsidRPr="00D06599" w:rsidRDefault="0097714C" w:rsidP="0097714C">
            <w:pPr>
              <w:pStyle w:val="TableText"/>
              <w:spacing w:line="240" w:lineRule="auto"/>
              <w:rPr>
                <w:rFonts w:ascii="Gill Sans MT" w:hAnsi="Gill Sans MT" w:cs="Lato-Light"/>
                <w:color w:val="808080" w:themeColor="background1" w:themeShade="80"/>
                <w:szCs w:val="18"/>
              </w:rPr>
            </w:pPr>
            <w:r w:rsidRPr="00D06599">
              <w:rPr>
                <w:rFonts w:ascii="Gill Sans MT" w:hAnsi="Gill Sans MT" w:cs="Lato-Light"/>
                <w:color w:val="808080" w:themeColor="background1" w:themeShade="80"/>
                <w:szCs w:val="18"/>
              </w:rPr>
              <w:t xml:space="preserve">Ministry of Women and Children Affairs </w:t>
            </w:r>
          </w:p>
          <w:p w14:paraId="3DED1EA5" w14:textId="333D8233" w:rsidR="0097714C" w:rsidRPr="00D06599" w:rsidRDefault="0097714C" w:rsidP="0097714C">
            <w:pPr>
              <w:pStyle w:val="TableText"/>
              <w:spacing w:line="240" w:lineRule="auto"/>
              <w:rPr>
                <w:rFonts w:ascii="Gill Sans MT" w:hAnsi="Gill Sans MT"/>
                <w:color w:val="808080" w:themeColor="background1" w:themeShade="80"/>
                <w:szCs w:val="18"/>
              </w:rPr>
            </w:pPr>
            <w:r w:rsidRPr="00D06599">
              <w:rPr>
                <w:rFonts w:ascii="Gill Sans MT" w:hAnsi="Gill Sans MT" w:cs="Lato-Light"/>
                <w:color w:val="808080" w:themeColor="background1" w:themeShade="80"/>
                <w:szCs w:val="18"/>
              </w:rPr>
              <w:t xml:space="preserve">Other key ministries involved include </w:t>
            </w:r>
            <w:r w:rsidR="003D326A">
              <w:rPr>
                <w:rFonts w:ascii="Gill Sans MT" w:hAnsi="Gill Sans MT" w:cs="Lato-Light"/>
                <w:color w:val="808080" w:themeColor="background1" w:themeShade="80"/>
                <w:szCs w:val="18"/>
              </w:rPr>
              <w:t xml:space="preserve">the </w:t>
            </w:r>
            <w:r w:rsidRPr="00D06599">
              <w:rPr>
                <w:rFonts w:ascii="Gill Sans MT" w:hAnsi="Gill Sans MT" w:cs="Lato-Light"/>
                <w:color w:val="808080" w:themeColor="background1" w:themeShade="80"/>
                <w:szCs w:val="18"/>
              </w:rPr>
              <w:t xml:space="preserve">Ministry of Health and Family Welfare and </w:t>
            </w:r>
            <w:r w:rsidR="003D326A">
              <w:rPr>
                <w:rFonts w:ascii="Gill Sans MT" w:hAnsi="Gill Sans MT" w:cs="Lato-Light"/>
                <w:color w:val="808080" w:themeColor="background1" w:themeShade="80"/>
                <w:szCs w:val="18"/>
              </w:rPr>
              <w:t xml:space="preserve">the </w:t>
            </w:r>
            <w:r w:rsidRPr="00D06599">
              <w:rPr>
                <w:rFonts w:ascii="Gill Sans MT" w:hAnsi="Gill Sans MT" w:cs="Lato-Light"/>
                <w:color w:val="808080" w:themeColor="background1" w:themeShade="80"/>
                <w:szCs w:val="18"/>
              </w:rPr>
              <w:t>Ministry of Social Welfare</w:t>
            </w:r>
            <w:r w:rsidR="003D326A">
              <w:rPr>
                <w:rFonts w:ascii="Gill Sans MT" w:hAnsi="Gill Sans MT" w:cs="Lato-Light"/>
                <w:color w:val="808080" w:themeColor="background1" w:themeShade="80"/>
                <w:szCs w:val="18"/>
              </w:rPr>
              <w:t>.</w:t>
            </w:r>
          </w:p>
        </w:tc>
      </w:tr>
      <w:tr w:rsidR="0097714C" w14:paraId="60B3C849" w14:textId="77777777" w:rsidTr="007222B4">
        <w:tc>
          <w:tcPr>
            <w:tcW w:w="2070" w:type="dxa"/>
            <w:tcBorders>
              <w:top w:val="single" w:sz="8" w:space="0" w:color="0067B9"/>
              <w:left w:val="nil"/>
              <w:bottom w:val="single" w:sz="8" w:space="0" w:color="0070C0"/>
              <w:right w:val="single" w:sz="8" w:space="0" w:color="0067B9"/>
            </w:tcBorders>
            <w:tcMar>
              <w:top w:w="43" w:type="dxa"/>
              <w:left w:w="72" w:type="dxa"/>
              <w:bottom w:w="43" w:type="dxa"/>
              <w:right w:w="72" w:type="dxa"/>
            </w:tcMar>
          </w:tcPr>
          <w:p w14:paraId="1D7F8D9D" w14:textId="77777777" w:rsidR="0097714C" w:rsidRPr="00D06599" w:rsidRDefault="0097714C" w:rsidP="0097714C">
            <w:pPr>
              <w:pStyle w:val="TableText"/>
              <w:rPr>
                <w:rFonts w:ascii="Gill Sans MT" w:hAnsi="Gill Sans MT"/>
                <w:color w:val="808080" w:themeColor="background1" w:themeShade="80"/>
                <w:szCs w:val="18"/>
              </w:rPr>
            </w:pPr>
            <w:r w:rsidRPr="00D06599">
              <w:rPr>
                <w:rFonts w:ascii="Gill Sans MT" w:hAnsi="Gill Sans MT"/>
                <w:color w:val="808080" w:themeColor="background1" w:themeShade="80"/>
                <w:szCs w:val="18"/>
              </w:rPr>
              <w:t>Cambodia</w:t>
            </w:r>
          </w:p>
        </w:tc>
        <w:tc>
          <w:tcPr>
            <w:tcW w:w="7290" w:type="dxa"/>
            <w:tcBorders>
              <w:top w:val="single" w:sz="8" w:space="0" w:color="0067B9"/>
              <w:left w:val="single" w:sz="8" w:space="0" w:color="0067B9"/>
              <w:bottom w:val="single" w:sz="8" w:space="0" w:color="0070C0"/>
              <w:right w:val="single" w:sz="8" w:space="0" w:color="0067B9"/>
            </w:tcBorders>
            <w:tcMar>
              <w:top w:w="43" w:type="dxa"/>
              <w:left w:w="72" w:type="dxa"/>
              <w:bottom w:w="43" w:type="dxa"/>
              <w:right w:w="72" w:type="dxa"/>
            </w:tcMar>
          </w:tcPr>
          <w:p w14:paraId="41687DED" w14:textId="0E3F200C" w:rsidR="0097714C" w:rsidRPr="00D06599" w:rsidRDefault="0097714C" w:rsidP="0097714C">
            <w:pPr>
              <w:pStyle w:val="TableText"/>
              <w:spacing w:line="240" w:lineRule="auto"/>
              <w:rPr>
                <w:rFonts w:ascii="Gill Sans MT" w:hAnsi="Gill Sans MT"/>
                <w:color w:val="808080" w:themeColor="background1" w:themeShade="80"/>
                <w:szCs w:val="18"/>
              </w:rPr>
            </w:pPr>
            <w:r w:rsidRPr="00D06599">
              <w:rPr>
                <w:rFonts w:ascii="Gill Sans MT" w:hAnsi="Gill Sans MT"/>
                <w:color w:val="808080" w:themeColor="background1" w:themeShade="80"/>
                <w:szCs w:val="18"/>
              </w:rPr>
              <w:t>Ministry of Education, Youth and Sport oversees the National Committee for Early Childhood Care and Development</w:t>
            </w:r>
            <w:r w:rsidR="003D326A">
              <w:rPr>
                <w:rFonts w:ascii="Gill Sans MT" w:hAnsi="Gill Sans MT"/>
                <w:color w:val="808080" w:themeColor="background1" w:themeShade="80"/>
                <w:szCs w:val="18"/>
              </w:rPr>
              <w:t>,</w:t>
            </w:r>
            <w:r w:rsidRPr="00D06599">
              <w:rPr>
                <w:rFonts w:ascii="Gill Sans MT" w:hAnsi="Gill Sans MT"/>
                <w:color w:val="808080" w:themeColor="background1" w:themeShade="80"/>
                <w:szCs w:val="18"/>
              </w:rPr>
              <w:t xml:space="preserve"> which consists of 14 cross-cutting ministries.</w:t>
            </w:r>
          </w:p>
        </w:tc>
      </w:tr>
      <w:tr w:rsidR="0097714C" w14:paraId="20494204" w14:textId="77777777" w:rsidTr="007222B4">
        <w:tc>
          <w:tcPr>
            <w:tcW w:w="2070" w:type="dxa"/>
            <w:tcBorders>
              <w:top w:val="single" w:sz="8" w:space="0" w:color="0070C0"/>
              <w:left w:val="nil"/>
              <w:bottom w:val="single" w:sz="8" w:space="0" w:color="0070C0"/>
              <w:right w:val="single" w:sz="8" w:space="0" w:color="0067B9"/>
            </w:tcBorders>
            <w:tcMar>
              <w:top w:w="43" w:type="dxa"/>
              <w:left w:w="72" w:type="dxa"/>
              <w:bottom w:w="43" w:type="dxa"/>
              <w:right w:w="72" w:type="dxa"/>
            </w:tcMar>
          </w:tcPr>
          <w:p w14:paraId="6C177487" w14:textId="77777777" w:rsidR="0097714C" w:rsidRPr="00D06599" w:rsidRDefault="0097714C" w:rsidP="0097714C">
            <w:pPr>
              <w:pStyle w:val="TableText"/>
              <w:rPr>
                <w:rFonts w:ascii="Gill Sans MT" w:hAnsi="Gill Sans MT"/>
                <w:color w:val="808080" w:themeColor="background1" w:themeShade="80"/>
                <w:szCs w:val="18"/>
              </w:rPr>
            </w:pPr>
            <w:r w:rsidRPr="00D06599">
              <w:rPr>
                <w:rFonts w:ascii="Gill Sans MT" w:hAnsi="Gill Sans MT"/>
                <w:color w:val="808080" w:themeColor="background1" w:themeShade="80"/>
                <w:szCs w:val="18"/>
              </w:rPr>
              <w:lastRenderedPageBreak/>
              <w:t>India</w:t>
            </w:r>
          </w:p>
        </w:tc>
        <w:tc>
          <w:tcPr>
            <w:tcW w:w="7290" w:type="dxa"/>
            <w:tcBorders>
              <w:top w:val="single" w:sz="8" w:space="0" w:color="0070C0"/>
              <w:left w:val="single" w:sz="8" w:space="0" w:color="0067B9"/>
              <w:bottom w:val="single" w:sz="8" w:space="0" w:color="0070C0"/>
              <w:right w:val="single" w:sz="8" w:space="0" w:color="0067B9"/>
            </w:tcBorders>
            <w:tcMar>
              <w:top w:w="43" w:type="dxa"/>
              <w:left w:w="72" w:type="dxa"/>
              <w:bottom w:w="43" w:type="dxa"/>
              <w:right w:w="72" w:type="dxa"/>
            </w:tcMar>
          </w:tcPr>
          <w:p w14:paraId="5ADE6158" w14:textId="26BD15CC" w:rsidR="0097714C" w:rsidRPr="00D06599" w:rsidRDefault="0097714C" w:rsidP="0097714C">
            <w:pPr>
              <w:pStyle w:val="TableText"/>
              <w:spacing w:line="240" w:lineRule="auto"/>
              <w:rPr>
                <w:rFonts w:ascii="Gill Sans MT" w:hAnsi="Gill Sans MT"/>
                <w:color w:val="808080" w:themeColor="background1" w:themeShade="80"/>
                <w:szCs w:val="18"/>
              </w:rPr>
            </w:pPr>
            <w:r w:rsidRPr="00D06599">
              <w:rPr>
                <w:rFonts w:ascii="Gill Sans MT" w:hAnsi="Gill Sans MT" w:cs="Lato-Light"/>
                <w:color w:val="808080" w:themeColor="background1" w:themeShade="80"/>
                <w:szCs w:val="18"/>
              </w:rPr>
              <w:t>Ministry of Women and Child Development in collaboration with Ministry of Health and Family Welfare, Ministry of Human Resource Development, and Ministry of Social Justice and Empowerment</w:t>
            </w:r>
          </w:p>
        </w:tc>
      </w:tr>
      <w:tr w:rsidR="0097714C" w14:paraId="2753CCB5" w14:textId="77777777" w:rsidTr="007222B4">
        <w:tc>
          <w:tcPr>
            <w:tcW w:w="2070" w:type="dxa"/>
            <w:tcBorders>
              <w:top w:val="single" w:sz="8" w:space="0" w:color="0070C0"/>
              <w:left w:val="nil"/>
              <w:bottom w:val="single" w:sz="18" w:space="0" w:color="0067B9"/>
              <w:right w:val="single" w:sz="8" w:space="0" w:color="0067B9"/>
            </w:tcBorders>
            <w:tcMar>
              <w:top w:w="43" w:type="dxa"/>
              <w:left w:w="72" w:type="dxa"/>
              <w:bottom w:w="43" w:type="dxa"/>
              <w:right w:w="72" w:type="dxa"/>
            </w:tcMar>
          </w:tcPr>
          <w:p w14:paraId="35764D26" w14:textId="77777777" w:rsidR="0097714C" w:rsidRPr="00D06599" w:rsidRDefault="0097714C" w:rsidP="0097714C">
            <w:pPr>
              <w:pStyle w:val="TableText"/>
              <w:rPr>
                <w:rFonts w:ascii="Gill Sans MT" w:hAnsi="Gill Sans MT"/>
                <w:color w:val="808080" w:themeColor="background1" w:themeShade="80"/>
                <w:szCs w:val="18"/>
              </w:rPr>
            </w:pPr>
            <w:r w:rsidRPr="00D06599">
              <w:rPr>
                <w:rFonts w:ascii="Gill Sans MT" w:hAnsi="Gill Sans MT"/>
                <w:color w:val="808080" w:themeColor="background1" w:themeShade="80"/>
                <w:szCs w:val="18"/>
              </w:rPr>
              <w:t>Indonesia</w:t>
            </w:r>
          </w:p>
        </w:tc>
        <w:tc>
          <w:tcPr>
            <w:tcW w:w="7290" w:type="dxa"/>
            <w:tcBorders>
              <w:top w:val="single" w:sz="8" w:space="0" w:color="0070C0"/>
              <w:left w:val="single" w:sz="8" w:space="0" w:color="0067B9"/>
              <w:bottom w:val="single" w:sz="18" w:space="0" w:color="0067B9"/>
              <w:right w:val="single" w:sz="8" w:space="0" w:color="0067B9"/>
            </w:tcBorders>
            <w:tcMar>
              <w:top w:w="43" w:type="dxa"/>
              <w:left w:w="72" w:type="dxa"/>
              <w:bottom w:w="43" w:type="dxa"/>
              <w:right w:w="72" w:type="dxa"/>
            </w:tcMar>
          </w:tcPr>
          <w:p w14:paraId="167A7F67" w14:textId="16A21C8D" w:rsidR="0097714C" w:rsidRPr="00D06599" w:rsidRDefault="0097714C" w:rsidP="0097714C">
            <w:pPr>
              <w:pStyle w:val="TableText"/>
              <w:spacing w:line="240" w:lineRule="auto"/>
              <w:rPr>
                <w:rFonts w:ascii="Gill Sans MT" w:hAnsi="Gill Sans MT"/>
                <w:color w:val="808080" w:themeColor="background1" w:themeShade="80"/>
                <w:szCs w:val="18"/>
              </w:rPr>
            </w:pPr>
            <w:r w:rsidRPr="00D06599">
              <w:rPr>
                <w:rFonts w:ascii="Gill Sans MT" w:hAnsi="Gill Sans MT"/>
                <w:color w:val="808080" w:themeColor="background1" w:themeShade="80"/>
                <w:szCs w:val="18"/>
              </w:rPr>
              <w:t xml:space="preserve">The National Development Planning Agency coordinates planning across all </w:t>
            </w:r>
            <w:r w:rsidR="003D326A">
              <w:rPr>
                <w:rFonts w:ascii="Gill Sans MT" w:hAnsi="Gill Sans MT"/>
                <w:color w:val="808080" w:themeColor="background1" w:themeShade="80"/>
                <w:szCs w:val="18"/>
              </w:rPr>
              <w:t>m</w:t>
            </w:r>
            <w:r w:rsidR="003D326A" w:rsidRPr="00D06599">
              <w:rPr>
                <w:rFonts w:ascii="Gill Sans MT" w:hAnsi="Gill Sans MT"/>
                <w:color w:val="808080" w:themeColor="background1" w:themeShade="80"/>
                <w:szCs w:val="18"/>
              </w:rPr>
              <w:t xml:space="preserve">inistries </w:t>
            </w:r>
            <w:r w:rsidRPr="00D06599">
              <w:rPr>
                <w:rFonts w:ascii="Gill Sans MT" w:hAnsi="Gill Sans MT"/>
                <w:color w:val="808080" w:themeColor="background1" w:themeShade="80"/>
                <w:szCs w:val="18"/>
              </w:rPr>
              <w:t xml:space="preserve">on </w:t>
            </w:r>
            <w:r w:rsidR="003D326A">
              <w:rPr>
                <w:rFonts w:ascii="Gill Sans MT" w:hAnsi="Gill Sans MT"/>
                <w:color w:val="808080" w:themeColor="background1" w:themeShade="80"/>
                <w:szCs w:val="18"/>
              </w:rPr>
              <w:t>early childhood development (ECD)</w:t>
            </w:r>
            <w:r w:rsidRPr="00D06599">
              <w:rPr>
                <w:rFonts w:ascii="Gill Sans MT" w:hAnsi="Gill Sans MT"/>
                <w:color w:val="808080" w:themeColor="background1" w:themeShade="80"/>
                <w:szCs w:val="18"/>
              </w:rPr>
              <w:t xml:space="preserve">, </w:t>
            </w:r>
            <w:r w:rsidR="003D326A" w:rsidRPr="00D06599">
              <w:rPr>
                <w:rFonts w:ascii="Gill Sans MT" w:hAnsi="Gill Sans MT"/>
                <w:color w:val="808080" w:themeColor="background1" w:themeShade="80"/>
                <w:szCs w:val="18"/>
              </w:rPr>
              <w:t xml:space="preserve">developing national strategies and </w:t>
            </w:r>
            <w:r w:rsidR="003D326A">
              <w:rPr>
                <w:rFonts w:ascii="Gill Sans MT" w:hAnsi="Gill Sans MT"/>
                <w:color w:val="808080" w:themeColor="background1" w:themeShade="80"/>
                <w:szCs w:val="18"/>
              </w:rPr>
              <w:t xml:space="preserve">a </w:t>
            </w:r>
            <w:r w:rsidR="003D326A" w:rsidRPr="00D06599">
              <w:rPr>
                <w:rFonts w:ascii="Gill Sans MT" w:hAnsi="Gill Sans MT"/>
                <w:color w:val="808080" w:themeColor="background1" w:themeShade="80"/>
                <w:szCs w:val="18"/>
              </w:rPr>
              <w:t>national development plan</w:t>
            </w:r>
            <w:r w:rsidRPr="00D06599">
              <w:rPr>
                <w:rFonts w:ascii="Gill Sans MT" w:hAnsi="Gill Sans MT"/>
                <w:color w:val="808080" w:themeColor="background1" w:themeShade="80"/>
                <w:szCs w:val="18"/>
              </w:rPr>
              <w:t xml:space="preserve">. </w:t>
            </w:r>
          </w:p>
          <w:p w14:paraId="747648AA" w14:textId="1A34AAE1" w:rsidR="0097714C" w:rsidRPr="00D06599" w:rsidRDefault="0097714C" w:rsidP="0097714C">
            <w:pPr>
              <w:pStyle w:val="TableText"/>
              <w:spacing w:line="240" w:lineRule="auto"/>
              <w:rPr>
                <w:rFonts w:ascii="Gill Sans MT" w:hAnsi="Gill Sans MT"/>
                <w:color w:val="808080" w:themeColor="background1" w:themeShade="80"/>
                <w:szCs w:val="18"/>
              </w:rPr>
            </w:pPr>
            <w:r w:rsidRPr="00D06599">
              <w:rPr>
                <w:rFonts w:ascii="Gill Sans MT" w:hAnsi="Gill Sans MT"/>
                <w:color w:val="808080" w:themeColor="background1" w:themeShade="80"/>
                <w:szCs w:val="18"/>
              </w:rPr>
              <w:t>The Coordinating Ministry for Human Development and Culture coordinates ECD programs across sectoral ministries</w:t>
            </w:r>
            <w:r w:rsidR="003D326A">
              <w:rPr>
                <w:rFonts w:ascii="Gill Sans MT" w:hAnsi="Gill Sans MT"/>
                <w:color w:val="808080" w:themeColor="background1" w:themeShade="80"/>
                <w:szCs w:val="18"/>
              </w:rPr>
              <w:t>.</w:t>
            </w:r>
          </w:p>
          <w:p w14:paraId="78CE8F13" w14:textId="133183EA" w:rsidR="0097714C" w:rsidRPr="00D06599" w:rsidRDefault="003D326A" w:rsidP="0097714C">
            <w:pPr>
              <w:pStyle w:val="TableText"/>
              <w:spacing w:line="240" w:lineRule="auto"/>
              <w:rPr>
                <w:rFonts w:ascii="Gill Sans MT" w:hAnsi="Gill Sans MT"/>
                <w:color w:val="808080" w:themeColor="background1" w:themeShade="80"/>
                <w:szCs w:val="18"/>
              </w:rPr>
            </w:pPr>
            <w:r>
              <w:rPr>
                <w:rFonts w:ascii="Gill Sans MT" w:hAnsi="Gill Sans MT"/>
                <w:color w:val="808080" w:themeColor="background1" w:themeShade="80"/>
                <w:szCs w:val="18"/>
              </w:rPr>
              <w:t xml:space="preserve">The </w:t>
            </w:r>
            <w:r w:rsidR="0097714C" w:rsidRPr="00D06599">
              <w:rPr>
                <w:rFonts w:ascii="Gill Sans MT" w:hAnsi="Gill Sans MT"/>
                <w:color w:val="808080" w:themeColor="background1" w:themeShade="80"/>
                <w:szCs w:val="18"/>
              </w:rPr>
              <w:t>Ministry of Education and Culture and Ministry of Religious Affairs govern operation of ECE establishments</w:t>
            </w:r>
            <w:r>
              <w:rPr>
                <w:rFonts w:ascii="Gill Sans MT" w:hAnsi="Gill Sans MT"/>
                <w:color w:val="808080" w:themeColor="background1" w:themeShade="80"/>
                <w:szCs w:val="18"/>
              </w:rPr>
              <w:t>.</w:t>
            </w:r>
            <w:r w:rsidR="0097714C" w:rsidRPr="00D06599">
              <w:rPr>
                <w:rFonts w:ascii="Gill Sans MT" w:hAnsi="Gill Sans MT"/>
                <w:color w:val="808080" w:themeColor="background1" w:themeShade="80"/>
                <w:szCs w:val="18"/>
              </w:rPr>
              <w:t xml:space="preserve"> </w:t>
            </w:r>
          </w:p>
        </w:tc>
      </w:tr>
      <w:tr w:rsidR="0097714C" w14:paraId="2F00AC9F" w14:textId="77777777" w:rsidTr="007222B4">
        <w:tc>
          <w:tcPr>
            <w:tcW w:w="2070" w:type="dxa"/>
            <w:tcBorders>
              <w:top w:val="single" w:sz="8" w:space="0" w:color="0067B9"/>
              <w:left w:val="nil"/>
              <w:bottom w:val="single" w:sz="8" w:space="0" w:color="0070C0"/>
              <w:right w:val="single" w:sz="8" w:space="0" w:color="0067B9"/>
            </w:tcBorders>
            <w:tcMar>
              <w:top w:w="43" w:type="dxa"/>
              <w:left w:w="72" w:type="dxa"/>
              <w:bottom w:w="43" w:type="dxa"/>
              <w:right w:w="72" w:type="dxa"/>
            </w:tcMar>
          </w:tcPr>
          <w:p w14:paraId="54E0F885" w14:textId="77777777" w:rsidR="0097714C" w:rsidRPr="00D06599" w:rsidRDefault="0097714C" w:rsidP="0097714C">
            <w:pPr>
              <w:pStyle w:val="TableText"/>
              <w:rPr>
                <w:rFonts w:ascii="Gill Sans MT" w:hAnsi="Gill Sans MT"/>
                <w:color w:val="808080" w:themeColor="background1" w:themeShade="80"/>
                <w:szCs w:val="18"/>
              </w:rPr>
            </w:pPr>
            <w:r w:rsidRPr="00D06599">
              <w:rPr>
                <w:rFonts w:ascii="Gill Sans MT" w:hAnsi="Gill Sans MT"/>
                <w:color w:val="808080" w:themeColor="background1" w:themeShade="80"/>
                <w:szCs w:val="18"/>
              </w:rPr>
              <w:t>Kyrgyzstan</w:t>
            </w:r>
          </w:p>
        </w:tc>
        <w:tc>
          <w:tcPr>
            <w:tcW w:w="7290" w:type="dxa"/>
            <w:tcBorders>
              <w:top w:val="single" w:sz="8" w:space="0" w:color="0067B9"/>
              <w:left w:val="single" w:sz="8" w:space="0" w:color="0067B9"/>
              <w:bottom w:val="single" w:sz="8" w:space="0" w:color="0070C0"/>
              <w:right w:val="single" w:sz="8" w:space="0" w:color="0067B9"/>
            </w:tcBorders>
            <w:tcMar>
              <w:top w:w="43" w:type="dxa"/>
              <w:left w:w="72" w:type="dxa"/>
              <w:bottom w:w="43" w:type="dxa"/>
              <w:right w:w="72" w:type="dxa"/>
            </w:tcMar>
          </w:tcPr>
          <w:p w14:paraId="55AAEC11" w14:textId="5619AAF6" w:rsidR="0097714C" w:rsidRPr="00D06599" w:rsidRDefault="0097714C" w:rsidP="0097714C">
            <w:pPr>
              <w:pStyle w:val="TableText"/>
              <w:spacing w:line="240" w:lineRule="auto"/>
              <w:rPr>
                <w:rFonts w:ascii="Gill Sans MT" w:hAnsi="Gill Sans MT"/>
                <w:color w:val="808080" w:themeColor="background1" w:themeShade="80"/>
                <w:szCs w:val="18"/>
              </w:rPr>
            </w:pPr>
            <w:r w:rsidRPr="00D06599">
              <w:rPr>
                <w:rFonts w:ascii="Gill Sans MT" w:hAnsi="Gill Sans MT"/>
                <w:color w:val="808080" w:themeColor="background1" w:themeShade="80"/>
                <w:szCs w:val="18"/>
              </w:rPr>
              <w:t xml:space="preserve">Ministry of Education and Science Department of School, Preschool and Extracurricular Education </w:t>
            </w:r>
          </w:p>
          <w:p w14:paraId="192F3BA5" w14:textId="31C090A9" w:rsidR="0097714C" w:rsidRPr="00D06599" w:rsidRDefault="0097714C" w:rsidP="0097714C">
            <w:pPr>
              <w:pStyle w:val="TableText"/>
              <w:spacing w:line="240" w:lineRule="auto"/>
              <w:rPr>
                <w:rFonts w:ascii="Gill Sans MT" w:hAnsi="Gill Sans MT"/>
                <w:color w:val="808080" w:themeColor="background1" w:themeShade="80"/>
                <w:szCs w:val="18"/>
              </w:rPr>
            </w:pPr>
            <w:r w:rsidRPr="00D06599">
              <w:rPr>
                <w:rFonts w:ascii="Gill Sans MT" w:hAnsi="Gill Sans MT"/>
                <w:color w:val="808080" w:themeColor="background1" w:themeShade="80"/>
                <w:szCs w:val="18"/>
              </w:rPr>
              <w:t xml:space="preserve">Department of Maternity and Childhood within </w:t>
            </w:r>
            <w:r w:rsidR="003D326A">
              <w:rPr>
                <w:rFonts w:ascii="Gill Sans MT" w:hAnsi="Gill Sans MT"/>
                <w:color w:val="808080" w:themeColor="background1" w:themeShade="80"/>
                <w:szCs w:val="18"/>
              </w:rPr>
              <w:t>the Ministry of Health</w:t>
            </w:r>
          </w:p>
          <w:p w14:paraId="440FD8E5" w14:textId="437A6F72" w:rsidR="0097714C" w:rsidRPr="00D06599" w:rsidRDefault="0097714C" w:rsidP="0097714C">
            <w:pPr>
              <w:pStyle w:val="TableText"/>
              <w:spacing w:line="240" w:lineRule="auto"/>
              <w:rPr>
                <w:rFonts w:ascii="Gill Sans MT" w:hAnsi="Gill Sans MT"/>
                <w:color w:val="808080" w:themeColor="background1" w:themeShade="80"/>
                <w:szCs w:val="18"/>
              </w:rPr>
            </w:pPr>
            <w:r w:rsidRPr="00D06599">
              <w:rPr>
                <w:rFonts w:ascii="Gill Sans MT" w:hAnsi="Gill Sans MT"/>
                <w:color w:val="808080" w:themeColor="background1" w:themeShade="80"/>
                <w:szCs w:val="18"/>
              </w:rPr>
              <w:t xml:space="preserve">Department of Child Protection within </w:t>
            </w:r>
            <w:r w:rsidR="003D326A">
              <w:rPr>
                <w:rFonts w:ascii="Gill Sans MT" w:hAnsi="Gill Sans MT"/>
                <w:color w:val="808080" w:themeColor="background1" w:themeShade="80"/>
                <w:szCs w:val="18"/>
              </w:rPr>
              <w:t>the Ministry of Social Development</w:t>
            </w:r>
          </w:p>
        </w:tc>
      </w:tr>
      <w:tr w:rsidR="0097714C" w14:paraId="264EC4B6" w14:textId="77777777" w:rsidTr="007222B4">
        <w:tc>
          <w:tcPr>
            <w:tcW w:w="2070" w:type="dxa"/>
            <w:tcBorders>
              <w:top w:val="single" w:sz="8" w:space="0" w:color="0070C0"/>
              <w:left w:val="nil"/>
              <w:bottom w:val="single" w:sz="8" w:space="0" w:color="0070C0"/>
              <w:right w:val="single" w:sz="8" w:space="0" w:color="0067B9"/>
            </w:tcBorders>
            <w:tcMar>
              <w:top w:w="43" w:type="dxa"/>
              <w:left w:w="72" w:type="dxa"/>
              <w:bottom w:w="43" w:type="dxa"/>
              <w:right w:w="72" w:type="dxa"/>
            </w:tcMar>
          </w:tcPr>
          <w:p w14:paraId="47EB2B06" w14:textId="77777777" w:rsidR="0097714C" w:rsidRPr="00D06599" w:rsidRDefault="0097714C" w:rsidP="0097714C">
            <w:pPr>
              <w:pStyle w:val="TableText"/>
              <w:rPr>
                <w:rFonts w:ascii="Gill Sans MT" w:hAnsi="Gill Sans MT"/>
                <w:color w:val="808080" w:themeColor="background1" w:themeShade="80"/>
                <w:szCs w:val="18"/>
              </w:rPr>
            </w:pPr>
            <w:r w:rsidRPr="00D06599">
              <w:rPr>
                <w:rFonts w:ascii="Gill Sans MT" w:hAnsi="Gill Sans MT"/>
                <w:color w:val="808080" w:themeColor="background1" w:themeShade="80"/>
                <w:szCs w:val="18"/>
              </w:rPr>
              <w:t>Lao PDR</w:t>
            </w:r>
          </w:p>
        </w:tc>
        <w:tc>
          <w:tcPr>
            <w:tcW w:w="7290" w:type="dxa"/>
            <w:tcBorders>
              <w:top w:val="single" w:sz="8" w:space="0" w:color="0070C0"/>
              <w:left w:val="single" w:sz="8" w:space="0" w:color="0067B9"/>
              <w:bottom w:val="single" w:sz="8" w:space="0" w:color="0070C0"/>
              <w:right w:val="single" w:sz="8" w:space="0" w:color="0067B9"/>
            </w:tcBorders>
            <w:tcMar>
              <w:top w:w="43" w:type="dxa"/>
              <w:left w:w="72" w:type="dxa"/>
              <w:bottom w:w="43" w:type="dxa"/>
              <w:right w:w="72" w:type="dxa"/>
            </w:tcMar>
          </w:tcPr>
          <w:p w14:paraId="23DE6829" w14:textId="77777777" w:rsidR="0097714C" w:rsidRPr="00D06599" w:rsidRDefault="0097714C" w:rsidP="0097714C">
            <w:pPr>
              <w:pStyle w:val="TableText"/>
              <w:spacing w:line="240" w:lineRule="auto"/>
              <w:rPr>
                <w:rFonts w:ascii="Gill Sans MT" w:hAnsi="Gill Sans MT"/>
                <w:color w:val="808080" w:themeColor="background1" w:themeShade="80"/>
                <w:szCs w:val="18"/>
              </w:rPr>
            </w:pPr>
            <w:r w:rsidRPr="00D06599">
              <w:rPr>
                <w:rFonts w:ascii="Gill Sans MT" w:hAnsi="Gill Sans MT"/>
                <w:color w:val="808080" w:themeColor="background1" w:themeShade="80"/>
                <w:szCs w:val="18"/>
              </w:rPr>
              <w:t>Ministry of Education with Ministry of Health</w:t>
            </w:r>
          </w:p>
        </w:tc>
      </w:tr>
      <w:tr w:rsidR="0097714C" w14:paraId="64E187CC" w14:textId="77777777" w:rsidTr="007222B4">
        <w:tc>
          <w:tcPr>
            <w:tcW w:w="2070" w:type="dxa"/>
            <w:tcBorders>
              <w:top w:val="single" w:sz="8" w:space="0" w:color="0070C0"/>
              <w:left w:val="nil"/>
              <w:bottom w:val="single" w:sz="8" w:space="0" w:color="0070C0"/>
              <w:right w:val="single" w:sz="8" w:space="0" w:color="0067B9"/>
            </w:tcBorders>
            <w:tcMar>
              <w:top w:w="43" w:type="dxa"/>
              <w:left w:w="72" w:type="dxa"/>
              <w:bottom w:w="43" w:type="dxa"/>
              <w:right w:w="72" w:type="dxa"/>
            </w:tcMar>
          </w:tcPr>
          <w:p w14:paraId="36DD4F76" w14:textId="77777777" w:rsidR="0097714C" w:rsidRPr="00D06599" w:rsidRDefault="0097714C" w:rsidP="0097714C">
            <w:pPr>
              <w:pStyle w:val="TableText"/>
              <w:rPr>
                <w:rFonts w:ascii="Gill Sans MT" w:hAnsi="Gill Sans MT"/>
                <w:color w:val="808080" w:themeColor="background1" w:themeShade="80"/>
                <w:szCs w:val="18"/>
              </w:rPr>
            </w:pPr>
            <w:r w:rsidRPr="00D06599">
              <w:rPr>
                <w:rFonts w:ascii="Gill Sans MT" w:hAnsi="Gill Sans MT"/>
                <w:color w:val="808080" w:themeColor="background1" w:themeShade="80"/>
                <w:szCs w:val="18"/>
              </w:rPr>
              <w:t>Nepal</w:t>
            </w:r>
          </w:p>
        </w:tc>
        <w:tc>
          <w:tcPr>
            <w:tcW w:w="7290" w:type="dxa"/>
            <w:tcBorders>
              <w:top w:val="single" w:sz="8" w:space="0" w:color="0070C0"/>
              <w:left w:val="single" w:sz="8" w:space="0" w:color="0067B9"/>
              <w:bottom w:val="single" w:sz="8" w:space="0" w:color="0070C0"/>
              <w:right w:val="single" w:sz="8" w:space="0" w:color="0067B9"/>
            </w:tcBorders>
            <w:tcMar>
              <w:top w:w="43" w:type="dxa"/>
              <w:left w:w="72" w:type="dxa"/>
              <w:bottom w:w="43" w:type="dxa"/>
              <w:right w:w="72" w:type="dxa"/>
            </w:tcMar>
          </w:tcPr>
          <w:p w14:paraId="633E376F" w14:textId="189E111B" w:rsidR="0097714C" w:rsidRPr="00D06599" w:rsidRDefault="0097714C" w:rsidP="0097714C">
            <w:pPr>
              <w:pStyle w:val="TableText"/>
              <w:spacing w:line="240" w:lineRule="auto"/>
              <w:rPr>
                <w:rFonts w:ascii="Gill Sans MT" w:hAnsi="Gill Sans MT"/>
                <w:color w:val="808080" w:themeColor="background1" w:themeShade="80"/>
                <w:szCs w:val="18"/>
              </w:rPr>
            </w:pPr>
            <w:r w:rsidRPr="00D06599">
              <w:rPr>
                <w:rFonts w:ascii="Gill Sans MT" w:hAnsi="Gill Sans MT"/>
                <w:color w:val="808080" w:themeColor="background1" w:themeShade="80"/>
                <w:szCs w:val="18"/>
              </w:rPr>
              <w:t>Ministry of Education (Department of Education) in collaboration with Ministry of Health</w:t>
            </w:r>
            <w:r w:rsidR="003D326A">
              <w:rPr>
                <w:rFonts w:ascii="Gill Sans MT" w:hAnsi="Gill Sans MT"/>
                <w:color w:val="808080" w:themeColor="background1" w:themeShade="80"/>
                <w:szCs w:val="18"/>
              </w:rPr>
              <w:t>;</w:t>
            </w:r>
            <w:r w:rsidR="003D326A" w:rsidRPr="00D06599">
              <w:rPr>
                <w:rFonts w:ascii="Gill Sans MT" w:hAnsi="Gill Sans MT"/>
                <w:color w:val="808080" w:themeColor="background1" w:themeShade="80"/>
                <w:szCs w:val="18"/>
              </w:rPr>
              <w:t xml:space="preserve"> </w:t>
            </w:r>
            <w:r w:rsidRPr="00D06599">
              <w:rPr>
                <w:rFonts w:ascii="Gill Sans MT" w:hAnsi="Gill Sans MT"/>
                <w:color w:val="808080" w:themeColor="background1" w:themeShade="80"/>
                <w:szCs w:val="18"/>
              </w:rPr>
              <w:t>Ministry of Women, Children, and Social Welfare</w:t>
            </w:r>
            <w:r w:rsidR="003D326A">
              <w:rPr>
                <w:rFonts w:ascii="Gill Sans MT" w:hAnsi="Gill Sans MT"/>
                <w:color w:val="808080" w:themeColor="background1" w:themeShade="80"/>
                <w:szCs w:val="18"/>
              </w:rPr>
              <w:t>;</w:t>
            </w:r>
            <w:r w:rsidR="003D326A" w:rsidRPr="00D06599">
              <w:rPr>
                <w:rFonts w:ascii="Gill Sans MT" w:hAnsi="Gill Sans MT"/>
                <w:color w:val="808080" w:themeColor="background1" w:themeShade="80"/>
                <w:szCs w:val="18"/>
              </w:rPr>
              <w:t xml:space="preserve"> </w:t>
            </w:r>
            <w:r w:rsidRPr="00D06599">
              <w:rPr>
                <w:rFonts w:ascii="Gill Sans MT" w:hAnsi="Gill Sans MT"/>
                <w:color w:val="808080" w:themeColor="background1" w:themeShade="80"/>
                <w:szCs w:val="18"/>
              </w:rPr>
              <w:t>and Ministry of Federal Affairs and Local Development</w:t>
            </w:r>
          </w:p>
        </w:tc>
      </w:tr>
      <w:tr w:rsidR="0097714C" w14:paraId="537D4D82" w14:textId="77777777" w:rsidTr="007222B4">
        <w:tc>
          <w:tcPr>
            <w:tcW w:w="2070" w:type="dxa"/>
            <w:tcBorders>
              <w:top w:val="single" w:sz="8" w:space="0" w:color="0070C0"/>
              <w:left w:val="nil"/>
              <w:bottom w:val="single" w:sz="8" w:space="0" w:color="0070C0"/>
              <w:right w:val="single" w:sz="8" w:space="0" w:color="0067B9"/>
            </w:tcBorders>
            <w:tcMar>
              <w:top w:w="43" w:type="dxa"/>
              <w:left w:w="72" w:type="dxa"/>
              <w:bottom w:w="43" w:type="dxa"/>
              <w:right w:w="72" w:type="dxa"/>
            </w:tcMar>
          </w:tcPr>
          <w:p w14:paraId="3B237B38" w14:textId="77777777" w:rsidR="0097714C" w:rsidRPr="00D06599" w:rsidRDefault="0097714C" w:rsidP="0097714C">
            <w:pPr>
              <w:pStyle w:val="TableText"/>
              <w:rPr>
                <w:rFonts w:ascii="Gill Sans MT" w:hAnsi="Gill Sans MT"/>
                <w:color w:val="808080" w:themeColor="background1" w:themeShade="80"/>
                <w:szCs w:val="18"/>
              </w:rPr>
            </w:pPr>
            <w:r w:rsidRPr="00D06599">
              <w:rPr>
                <w:rFonts w:ascii="Gill Sans MT" w:hAnsi="Gill Sans MT"/>
                <w:color w:val="808080" w:themeColor="background1" w:themeShade="80"/>
                <w:szCs w:val="18"/>
              </w:rPr>
              <w:t>Philippines</w:t>
            </w:r>
          </w:p>
        </w:tc>
        <w:tc>
          <w:tcPr>
            <w:tcW w:w="7290" w:type="dxa"/>
            <w:tcBorders>
              <w:top w:val="single" w:sz="8" w:space="0" w:color="0070C0"/>
              <w:left w:val="single" w:sz="8" w:space="0" w:color="0067B9"/>
              <w:bottom w:val="single" w:sz="8" w:space="0" w:color="0070C0"/>
              <w:right w:val="single" w:sz="8" w:space="0" w:color="0067B9"/>
            </w:tcBorders>
            <w:tcMar>
              <w:top w:w="43" w:type="dxa"/>
              <w:left w:w="72" w:type="dxa"/>
              <w:bottom w:w="43" w:type="dxa"/>
              <w:right w:w="72" w:type="dxa"/>
            </w:tcMar>
          </w:tcPr>
          <w:p w14:paraId="5B3AF294" w14:textId="1B01DEC5" w:rsidR="0097714C" w:rsidRPr="00D06599" w:rsidRDefault="003D326A" w:rsidP="0097714C">
            <w:pPr>
              <w:pStyle w:val="TableText"/>
              <w:spacing w:line="240" w:lineRule="auto"/>
              <w:rPr>
                <w:rFonts w:ascii="Gill Sans MT" w:hAnsi="Gill Sans MT"/>
                <w:color w:val="808080" w:themeColor="background1" w:themeShade="80"/>
                <w:szCs w:val="18"/>
              </w:rPr>
            </w:pPr>
            <w:r>
              <w:rPr>
                <w:rFonts w:ascii="Gill Sans MT" w:hAnsi="Gill Sans MT"/>
                <w:color w:val="808080" w:themeColor="background1" w:themeShade="80"/>
                <w:szCs w:val="18"/>
              </w:rPr>
              <w:t xml:space="preserve">The </w:t>
            </w:r>
            <w:r w:rsidRPr="00D06599">
              <w:rPr>
                <w:rFonts w:ascii="Gill Sans MT" w:hAnsi="Gill Sans MT"/>
                <w:color w:val="808080" w:themeColor="background1" w:themeShade="80"/>
                <w:szCs w:val="18"/>
              </w:rPr>
              <w:t>Early Childhood Care and Development</w:t>
            </w:r>
            <w:r w:rsidRPr="00D06599" w:rsidDel="003D326A">
              <w:rPr>
                <w:rFonts w:ascii="Gill Sans MT" w:hAnsi="Gill Sans MT"/>
                <w:color w:val="808080" w:themeColor="background1" w:themeShade="80"/>
                <w:szCs w:val="18"/>
              </w:rPr>
              <w:t xml:space="preserve"> </w:t>
            </w:r>
            <w:r w:rsidR="0097714C" w:rsidRPr="00D06599">
              <w:rPr>
                <w:rFonts w:ascii="Gill Sans MT" w:hAnsi="Gill Sans MT"/>
                <w:color w:val="808080" w:themeColor="background1" w:themeShade="80"/>
                <w:szCs w:val="18"/>
              </w:rPr>
              <w:t>Council for the Welfare of Children under Office of the President oversees implementation of national ECD system</w:t>
            </w:r>
            <w:r>
              <w:rPr>
                <w:rFonts w:ascii="Gill Sans MT" w:hAnsi="Gill Sans MT"/>
                <w:color w:val="808080" w:themeColor="background1" w:themeShade="80"/>
                <w:szCs w:val="18"/>
              </w:rPr>
              <w:t>.</w:t>
            </w:r>
          </w:p>
          <w:p w14:paraId="46D42431" w14:textId="4145F8CB" w:rsidR="0097714C" w:rsidRPr="00D06599" w:rsidRDefault="003D326A" w:rsidP="0097714C">
            <w:pPr>
              <w:pStyle w:val="TableText"/>
              <w:spacing w:line="240" w:lineRule="auto"/>
              <w:rPr>
                <w:rFonts w:ascii="Gill Sans MT" w:hAnsi="Gill Sans MT"/>
                <w:color w:val="808080" w:themeColor="background1" w:themeShade="80"/>
                <w:szCs w:val="18"/>
              </w:rPr>
            </w:pPr>
            <w:r>
              <w:rPr>
                <w:rFonts w:ascii="Gill Sans MT" w:hAnsi="Gill Sans MT"/>
                <w:color w:val="808080" w:themeColor="background1" w:themeShade="80"/>
                <w:szCs w:val="18"/>
              </w:rPr>
              <w:t xml:space="preserve">The </w:t>
            </w:r>
            <w:r w:rsidR="0097714C" w:rsidRPr="00D06599">
              <w:rPr>
                <w:rFonts w:ascii="Gill Sans MT" w:hAnsi="Gill Sans MT"/>
                <w:color w:val="808080" w:themeColor="background1" w:themeShade="80"/>
                <w:szCs w:val="18"/>
              </w:rPr>
              <w:t>Department of Education governs ECE specifically</w:t>
            </w:r>
            <w:r>
              <w:rPr>
                <w:rFonts w:ascii="Gill Sans MT" w:hAnsi="Gill Sans MT"/>
                <w:color w:val="808080" w:themeColor="background1" w:themeShade="80"/>
                <w:szCs w:val="18"/>
              </w:rPr>
              <w:t xml:space="preserve">. The </w:t>
            </w:r>
            <w:r w:rsidR="0097714C" w:rsidRPr="00D06599">
              <w:rPr>
                <w:rFonts w:ascii="Gill Sans MT" w:hAnsi="Gill Sans MT"/>
                <w:color w:val="808080" w:themeColor="background1" w:themeShade="80"/>
                <w:szCs w:val="18"/>
              </w:rPr>
              <w:t xml:space="preserve">Department of Social Welfare and Development governs protection of citizens’ social welfare </w:t>
            </w:r>
            <w:r>
              <w:rPr>
                <w:rFonts w:ascii="Gill Sans MT" w:hAnsi="Gill Sans MT"/>
                <w:color w:val="808080" w:themeColor="background1" w:themeShade="80"/>
                <w:szCs w:val="18"/>
              </w:rPr>
              <w:t>and</w:t>
            </w:r>
            <w:r w:rsidRPr="00D06599">
              <w:rPr>
                <w:rFonts w:ascii="Gill Sans MT" w:hAnsi="Gill Sans MT"/>
                <w:color w:val="808080" w:themeColor="background1" w:themeShade="80"/>
                <w:szCs w:val="18"/>
              </w:rPr>
              <w:t xml:space="preserve"> </w:t>
            </w:r>
            <w:r w:rsidR="0097714C" w:rsidRPr="00D06599">
              <w:rPr>
                <w:rFonts w:ascii="Gill Sans MT" w:hAnsi="Gill Sans MT"/>
                <w:color w:val="808080" w:themeColor="background1" w:themeShade="80"/>
                <w:szCs w:val="18"/>
              </w:rPr>
              <w:t>rights and promotion of social development</w:t>
            </w:r>
            <w:r>
              <w:rPr>
                <w:rFonts w:ascii="Gill Sans MT" w:hAnsi="Gill Sans MT"/>
                <w:color w:val="808080" w:themeColor="background1" w:themeShade="80"/>
                <w:szCs w:val="18"/>
              </w:rPr>
              <w:t xml:space="preserve">. The </w:t>
            </w:r>
            <w:r w:rsidR="0097714C" w:rsidRPr="00D06599">
              <w:rPr>
                <w:rFonts w:ascii="Gill Sans MT" w:hAnsi="Gill Sans MT"/>
                <w:color w:val="808080" w:themeColor="background1" w:themeShade="80"/>
                <w:szCs w:val="18"/>
              </w:rPr>
              <w:t>Department of Health and the Union of Local Authorities of Philippine National Nutrition Council are also involved</w:t>
            </w:r>
            <w:r>
              <w:rPr>
                <w:rFonts w:ascii="Gill Sans MT" w:hAnsi="Gill Sans MT"/>
                <w:color w:val="808080" w:themeColor="background1" w:themeShade="80"/>
                <w:szCs w:val="18"/>
              </w:rPr>
              <w:t>.</w:t>
            </w:r>
          </w:p>
        </w:tc>
      </w:tr>
      <w:tr w:rsidR="0097714C" w14:paraId="4F177B55" w14:textId="77777777" w:rsidTr="007222B4">
        <w:tc>
          <w:tcPr>
            <w:tcW w:w="2070" w:type="dxa"/>
            <w:tcBorders>
              <w:top w:val="single" w:sz="8" w:space="0" w:color="0070C0"/>
              <w:left w:val="nil"/>
              <w:bottom w:val="single" w:sz="8" w:space="0" w:color="0070C0"/>
              <w:right w:val="single" w:sz="8" w:space="0" w:color="0067B9"/>
            </w:tcBorders>
            <w:tcMar>
              <w:top w:w="43" w:type="dxa"/>
              <w:left w:w="72" w:type="dxa"/>
              <w:bottom w:w="43" w:type="dxa"/>
              <w:right w:w="72" w:type="dxa"/>
            </w:tcMar>
          </w:tcPr>
          <w:p w14:paraId="091348AD" w14:textId="77777777" w:rsidR="0097714C" w:rsidRPr="00D06599" w:rsidRDefault="0097714C" w:rsidP="0097714C">
            <w:pPr>
              <w:pStyle w:val="TableText"/>
              <w:rPr>
                <w:rFonts w:ascii="Gill Sans MT" w:hAnsi="Gill Sans MT"/>
                <w:color w:val="808080" w:themeColor="background1" w:themeShade="80"/>
                <w:szCs w:val="18"/>
              </w:rPr>
            </w:pPr>
            <w:r w:rsidRPr="00D06599">
              <w:rPr>
                <w:rFonts w:ascii="Gill Sans MT" w:hAnsi="Gill Sans MT"/>
                <w:color w:val="808080" w:themeColor="background1" w:themeShade="80"/>
                <w:szCs w:val="18"/>
              </w:rPr>
              <w:t>Tajikistan</w:t>
            </w:r>
          </w:p>
        </w:tc>
        <w:tc>
          <w:tcPr>
            <w:tcW w:w="7290" w:type="dxa"/>
            <w:tcBorders>
              <w:top w:val="single" w:sz="8" w:space="0" w:color="0070C0"/>
              <w:left w:val="single" w:sz="8" w:space="0" w:color="0067B9"/>
              <w:bottom w:val="single" w:sz="8" w:space="0" w:color="0070C0"/>
              <w:right w:val="single" w:sz="8" w:space="0" w:color="0067B9"/>
            </w:tcBorders>
            <w:tcMar>
              <w:top w:w="43" w:type="dxa"/>
              <w:left w:w="72" w:type="dxa"/>
              <w:bottom w:w="43" w:type="dxa"/>
              <w:right w:w="72" w:type="dxa"/>
            </w:tcMar>
          </w:tcPr>
          <w:p w14:paraId="43D7BD29" w14:textId="77777777" w:rsidR="0097714C" w:rsidRPr="00D06599" w:rsidRDefault="0097714C" w:rsidP="0097714C">
            <w:pPr>
              <w:pStyle w:val="TableText"/>
              <w:spacing w:line="240" w:lineRule="auto"/>
              <w:rPr>
                <w:rFonts w:ascii="Gill Sans MT" w:hAnsi="Gill Sans MT"/>
                <w:color w:val="808080" w:themeColor="background1" w:themeShade="80"/>
                <w:szCs w:val="18"/>
              </w:rPr>
            </w:pPr>
            <w:r w:rsidRPr="00D06599">
              <w:rPr>
                <w:rFonts w:ascii="Gill Sans MT" w:hAnsi="Gill Sans MT"/>
                <w:color w:val="808080" w:themeColor="background1" w:themeShade="80"/>
                <w:szCs w:val="18"/>
              </w:rPr>
              <w:t>Ministry of Education, with additional ECD services provided through Ministry of Health and Ministry of Labor and Social Protection</w:t>
            </w:r>
          </w:p>
          <w:p w14:paraId="46809D18" w14:textId="77777777" w:rsidR="0097714C" w:rsidRPr="00D06599" w:rsidRDefault="0097714C" w:rsidP="0097714C">
            <w:pPr>
              <w:pStyle w:val="TableText"/>
              <w:spacing w:line="240" w:lineRule="auto"/>
              <w:rPr>
                <w:rFonts w:ascii="Gill Sans MT" w:hAnsi="Gill Sans MT"/>
                <w:color w:val="808080" w:themeColor="background1" w:themeShade="80"/>
                <w:szCs w:val="18"/>
              </w:rPr>
            </w:pPr>
            <w:r w:rsidRPr="00D06599">
              <w:rPr>
                <w:rFonts w:ascii="Gill Sans MT" w:hAnsi="Gill Sans MT"/>
                <w:color w:val="808080" w:themeColor="background1" w:themeShade="80"/>
                <w:szCs w:val="18"/>
              </w:rPr>
              <w:t>Ministry of Finance</w:t>
            </w:r>
          </w:p>
        </w:tc>
      </w:tr>
      <w:tr w:rsidR="0097714C" w14:paraId="32B4316A" w14:textId="77777777" w:rsidTr="007222B4">
        <w:tc>
          <w:tcPr>
            <w:tcW w:w="2070" w:type="dxa"/>
            <w:tcBorders>
              <w:top w:val="single" w:sz="8" w:space="0" w:color="0070C0"/>
              <w:left w:val="nil"/>
              <w:bottom w:val="single" w:sz="18" w:space="0" w:color="0067B9"/>
              <w:right w:val="single" w:sz="8" w:space="0" w:color="0067B9"/>
            </w:tcBorders>
            <w:tcMar>
              <w:top w:w="43" w:type="dxa"/>
              <w:left w:w="72" w:type="dxa"/>
              <w:bottom w:w="43" w:type="dxa"/>
              <w:right w:w="72" w:type="dxa"/>
            </w:tcMar>
          </w:tcPr>
          <w:p w14:paraId="52E34F02" w14:textId="77777777" w:rsidR="0097714C" w:rsidRPr="00D06599" w:rsidRDefault="0097714C" w:rsidP="0097714C">
            <w:pPr>
              <w:pStyle w:val="TableText"/>
              <w:keepNext/>
              <w:rPr>
                <w:rFonts w:ascii="Gill Sans MT" w:hAnsi="Gill Sans MT"/>
                <w:color w:val="808080" w:themeColor="background1" w:themeShade="80"/>
                <w:szCs w:val="18"/>
              </w:rPr>
            </w:pPr>
            <w:r w:rsidRPr="00D06599">
              <w:rPr>
                <w:rFonts w:ascii="Gill Sans MT" w:hAnsi="Gill Sans MT"/>
                <w:color w:val="808080" w:themeColor="background1" w:themeShade="80"/>
                <w:szCs w:val="18"/>
              </w:rPr>
              <w:t>Vietnam</w:t>
            </w:r>
          </w:p>
        </w:tc>
        <w:tc>
          <w:tcPr>
            <w:tcW w:w="7290" w:type="dxa"/>
            <w:tcBorders>
              <w:top w:val="single" w:sz="8" w:space="0" w:color="0070C0"/>
              <w:left w:val="single" w:sz="8" w:space="0" w:color="0067B9"/>
              <w:bottom w:val="single" w:sz="18" w:space="0" w:color="0067B9"/>
              <w:right w:val="single" w:sz="8" w:space="0" w:color="0067B9"/>
            </w:tcBorders>
            <w:tcMar>
              <w:top w:w="43" w:type="dxa"/>
              <w:left w:w="72" w:type="dxa"/>
              <w:bottom w:w="43" w:type="dxa"/>
              <w:right w:w="72" w:type="dxa"/>
            </w:tcMar>
          </w:tcPr>
          <w:p w14:paraId="755AE57A" w14:textId="346651E6" w:rsidR="0097714C" w:rsidRPr="00D06599" w:rsidRDefault="0097714C" w:rsidP="0097714C">
            <w:pPr>
              <w:pStyle w:val="TableText"/>
              <w:spacing w:line="240" w:lineRule="auto"/>
              <w:rPr>
                <w:rFonts w:ascii="Gill Sans MT" w:hAnsi="Gill Sans MT"/>
                <w:color w:val="808080" w:themeColor="background1" w:themeShade="80"/>
                <w:szCs w:val="18"/>
              </w:rPr>
            </w:pPr>
            <w:r w:rsidRPr="00D06599">
              <w:rPr>
                <w:rFonts w:ascii="Gill Sans MT" w:hAnsi="Gill Sans MT"/>
                <w:color w:val="808080" w:themeColor="background1" w:themeShade="80"/>
                <w:szCs w:val="18"/>
              </w:rPr>
              <w:t xml:space="preserve">Ministry of Labour, Invalids and Social Affairs oversees the coordination of ECD programs across ministries. </w:t>
            </w:r>
          </w:p>
          <w:p w14:paraId="3B226CC9" w14:textId="1B4AD299" w:rsidR="0097714C" w:rsidRPr="00D06599" w:rsidRDefault="0097714C" w:rsidP="0097714C">
            <w:pPr>
              <w:pStyle w:val="TableText"/>
              <w:spacing w:line="240" w:lineRule="auto"/>
              <w:rPr>
                <w:rFonts w:ascii="Gill Sans MT" w:hAnsi="Gill Sans MT"/>
                <w:color w:val="808080" w:themeColor="background1" w:themeShade="80"/>
                <w:szCs w:val="18"/>
              </w:rPr>
            </w:pPr>
            <w:r w:rsidRPr="00D06599">
              <w:rPr>
                <w:rFonts w:ascii="Gill Sans MT" w:hAnsi="Gill Sans MT"/>
                <w:color w:val="808080" w:themeColor="background1" w:themeShade="80"/>
                <w:szCs w:val="18"/>
              </w:rPr>
              <w:t>Other ministries implementing ECD include Ministry of Education and Training</w:t>
            </w:r>
            <w:r w:rsidR="00143248">
              <w:rPr>
                <w:rFonts w:ascii="Gill Sans MT" w:hAnsi="Gill Sans MT"/>
                <w:color w:val="808080" w:themeColor="background1" w:themeShade="80"/>
                <w:szCs w:val="18"/>
              </w:rPr>
              <w:t>;</w:t>
            </w:r>
            <w:r w:rsidR="00143248" w:rsidRPr="00D06599">
              <w:rPr>
                <w:rFonts w:ascii="Gill Sans MT" w:hAnsi="Gill Sans MT"/>
                <w:color w:val="808080" w:themeColor="background1" w:themeShade="80"/>
                <w:szCs w:val="18"/>
              </w:rPr>
              <w:t xml:space="preserve"> </w:t>
            </w:r>
            <w:r w:rsidRPr="00D06599">
              <w:rPr>
                <w:rFonts w:ascii="Gill Sans MT" w:hAnsi="Gill Sans MT"/>
                <w:color w:val="808080" w:themeColor="background1" w:themeShade="80"/>
                <w:szCs w:val="18"/>
              </w:rPr>
              <w:t>Ministry of Health</w:t>
            </w:r>
            <w:r w:rsidR="00143248">
              <w:rPr>
                <w:rFonts w:ascii="Gill Sans MT" w:hAnsi="Gill Sans MT"/>
                <w:color w:val="808080" w:themeColor="background1" w:themeShade="80"/>
                <w:szCs w:val="18"/>
              </w:rPr>
              <w:t>;</w:t>
            </w:r>
            <w:r w:rsidR="00143248" w:rsidRPr="00D06599">
              <w:rPr>
                <w:rFonts w:ascii="Gill Sans MT" w:hAnsi="Gill Sans MT"/>
                <w:color w:val="808080" w:themeColor="background1" w:themeShade="80"/>
                <w:szCs w:val="18"/>
              </w:rPr>
              <w:t xml:space="preserve"> </w:t>
            </w:r>
            <w:r w:rsidRPr="00D06599">
              <w:rPr>
                <w:rFonts w:ascii="Gill Sans MT" w:hAnsi="Gill Sans MT"/>
                <w:color w:val="808080" w:themeColor="background1" w:themeShade="80"/>
                <w:szCs w:val="18"/>
              </w:rPr>
              <w:t>Committee for Population, Family and Children responsible for overall child-focused policy</w:t>
            </w:r>
            <w:r w:rsidR="00143248">
              <w:rPr>
                <w:rFonts w:ascii="Gill Sans MT" w:hAnsi="Gill Sans MT"/>
                <w:color w:val="808080" w:themeColor="background1" w:themeShade="80"/>
                <w:szCs w:val="18"/>
              </w:rPr>
              <w:t>;</w:t>
            </w:r>
            <w:r w:rsidR="00143248" w:rsidRPr="00D06599">
              <w:rPr>
                <w:rFonts w:ascii="Gill Sans MT" w:hAnsi="Gill Sans MT"/>
                <w:color w:val="808080" w:themeColor="background1" w:themeShade="80"/>
                <w:szCs w:val="18"/>
              </w:rPr>
              <w:t xml:space="preserve"> </w:t>
            </w:r>
            <w:r w:rsidRPr="00D06599">
              <w:rPr>
                <w:rFonts w:ascii="Gill Sans MT" w:hAnsi="Gill Sans MT"/>
                <w:color w:val="808080" w:themeColor="background1" w:themeShade="80"/>
                <w:szCs w:val="18"/>
              </w:rPr>
              <w:t>and the Viet Nam Women’s Union</w:t>
            </w:r>
            <w:r w:rsidR="00143248">
              <w:rPr>
                <w:rFonts w:ascii="Gill Sans MT" w:hAnsi="Gill Sans MT"/>
                <w:color w:val="808080" w:themeColor="background1" w:themeShade="80"/>
                <w:szCs w:val="18"/>
              </w:rPr>
              <w:t>,</w:t>
            </w:r>
            <w:r w:rsidRPr="00D06599">
              <w:rPr>
                <w:rFonts w:ascii="Gill Sans MT" w:hAnsi="Gill Sans MT"/>
                <w:color w:val="808080" w:themeColor="background1" w:themeShade="80"/>
                <w:szCs w:val="18"/>
              </w:rPr>
              <w:t xml:space="preserve"> which is responsible for parent education.</w:t>
            </w:r>
          </w:p>
        </w:tc>
      </w:tr>
    </w:tbl>
    <w:p w14:paraId="45D8738B" w14:textId="6D8F6980" w:rsidR="007222B4" w:rsidRDefault="00E32E11" w:rsidP="00E32E11">
      <w:pPr>
        <w:spacing w:after="0" w:line="240" w:lineRule="auto"/>
        <w:rPr>
          <w:sz w:val="16"/>
          <w:szCs w:val="16"/>
        </w:rPr>
      </w:pPr>
      <w:r w:rsidRPr="00E32E11">
        <w:rPr>
          <w:sz w:val="16"/>
          <w:szCs w:val="16"/>
        </w:rPr>
        <w:t xml:space="preserve">Sources: ARNEC (2018) </w:t>
      </w:r>
      <w:r w:rsidR="00143248">
        <w:rPr>
          <w:sz w:val="16"/>
          <w:szCs w:val="16"/>
        </w:rPr>
        <w:t>c</w:t>
      </w:r>
      <w:r w:rsidR="00143248" w:rsidRPr="00E32E11">
        <w:rPr>
          <w:sz w:val="16"/>
          <w:szCs w:val="16"/>
        </w:rPr>
        <w:t xml:space="preserve">ountry </w:t>
      </w:r>
      <w:r w:rsidRPr="00E32E11">
        <w:rPr>
          <w:sz w:val="16"/>
          <w:szCs w:val="16"/>
        </w:rPr>
        <w:t>profiles for Bangladesh, Cambodia, India, Indonesia, Nepal,</w:t>
      </w:r>
      <w:r w:rsidR="00F50D1F">
        <w:rPr>
          <w:sz w:val="16"/>
          <w:szCs w:val="16"/>
        </w:rPr>
        <w:t xml:space="preserve"> Lao PDR,</w:t>
      </w:r>
      <w:r w:rsidRPr="00E32E11">
        <w:rPr>
          <w:sz w:val="16"/>
          <w:szCs w:val="16"/>
        </w:rPr>
        <w:t xml:space="preserve"> Philippines, and Vietnam; Jung &amp; Hasan (2016) for Indonesia; SABER (2013c) for Tajikistan</w:t>
      </w:r>
    </w:p>
    <w:p w14:paraId="71A4E1BE" w14:textId="77777777" w:rsidR="00C644E8" w:rsidRPr="00E32E11" w:rsidRDefault="00C644E8" w:rsidP="00E32E11">
      <w:pPr>
        <w:spacing w:after="0" w:line="240" w:lineRule="auto"/>
        <w:rPr>
          <w:sz w:val="16"/>
          <w:szCs w:val="16"/>
        </w:rPr>
      </w:pPr>
    </w:p>
    <w:p w14:paraId="1EC68326" w14:textId="5D7535B3" w:rsidR="001704C3" w:rsidRPr="00E32E11" w:rsidRDefault="00D06599" w:rsidP="00E32E11">
      <w:r w:rsidRPr="00E32E11">
        <w:t xml:space="preserve">Beyond national government structures, as we have noted, other active providers and stakeholders include NGOs, private foundations and faith-based institutions, international agencies, local government, and communities. </w:t>
      </w:r>
    </w:p>
    <w:p w14:paraId="669BBA91" w14:textId="77777777" w:rsidR="00D06599" w:rsidRDefault="00D06599" w:rsidP="007222B4">
      <w:pPr>
        <w:pStyle w:val="Heading3"/>
        <w:tabs>
          <w:tab w:val="left" w:pos="7620"/>
        </w:tabs>
      </w:pPr>
      <w:r w:rsidRPr="00C541C9">
        <w:t>Coordination across national government structures</w:t>
      </w:r>
      <w:r w:rsidR="007222B4">
        <w:tab/>
      </w:r>
    </w:p>
    <w:p w14:paraId="3BB6C635" w14:textId="77777777" w:rsidR="00C644E8" w:rsidRDefault="00D06599" w:rsidP="00D06599">
      <w:r w:rsidRPr="00D06599">
        <w:t xml:space="preserve">Implementing multisectoral policy and managing a plurality of both government and nongovernment actors call for effective mechanisms of coordination. </w:t>
      </w:r>
    </w:p>
    <w:p w14:paraId="6A81BBD5" w14:textId="1C27D3AC" w:rsidR="00C644E8" w:rsidRDefault="00C644E8" w:rsidP="00C644E8">
      <w:pPr>
        <w:pStyle w:val="ListParagraph"/>
        <w:numPr>
          <w:ilvl w:val="0"/>
          <w:numId w:val="33"/>
        </w:numPr>
        <w:rPr>
          <w:rFonts w:ascii="Gill Sans MT" w:eastAsia="MS Mincho" w:hAnsi="Gill Sans MT" w:cs="GillSansMTStd-Book"/>
          <w:color w:val="6C6463"/>
        </w:rPr>
      </w:pPr>
      <w:r w:rsidRPr="00C644E8">
        <w:rPr>
          <w:rFonts w:ascii="Gill Sans MT" w:eastAsia="MS Mincho" w:hAnsi="Gill Sans MT" w:cs="GillSansMTStd-Book"/>
          <w:color w:val="6C6463"/>
        </w:rPr>
        <w:t xml:space="preserve">Countries </w:t>
      </w:r>
      <w:r w:rsidR="00D06599" w:rsidRPr="00C644E8">
        <w:rPr>
          <w:rFonts w:ascii="Gill Sans MT" w:eastAsia="MS Mincho" w:hAnsi="Gill Sans MT" w:cs="GillSansMTStd-Book"/>
          <w:color w:val="6C6463"/>
        </w:rPr>
        <w:t xml:space="preserve">may opt to identify a specific </w:t>
      </w:r>
      <w:r w:rsidR="00530751">
        <w:rPr>
          <w:rFonts w:ascii="Gill Sans MT" w:eastAsia="MS Mincho" w:hAnsi="Gill Sans MT" w:cs="GillSansMTStd-Book"/>
          <w:color w:val="6C6463"/>
        </w:rPr>
        <w:t>m</w:t>
      </w:r>
      <w:r w:rsidR="00530751" w:rsidRPr="00C644E8">
        <w:rPr>
          <w:rFonts w:ascii="Gill Sans MT" w:eastAsia="MS Mincho" w:hAnsi="Gill Sans MT" w:cs="GillSansMTStd-Book"/>
          <w:color w:val="6C6463"/>
        </w:rPr>
        <w:t xml:space="preserve">inistry </w:t>
      </w:r>
      <w:r w:rsidR="00D06599" w:rsidRPr="00C644E8">
        <w:rPr>
          <w:rFonts w:ascii="Gill Sans MT" w:eastAsia="MS Mincho" w:hAnsi="Gill Sans MT" w:cs="GillSansMTStd-Book"/>
          <w:color w:val="6C6463"/>
        </w:rPr>
        <w:t>to take on coordination of actions for a given age group</w:t>
      </w:r>
      <w:r w:rsidR="00530751">
        <w:rPr>
          <w:rFonts w:ascii="Gill Sans MT" w:eastAsia="MS Mincho" w:hAnsi="Gill Sans MT" w:cs="GillSansMTStd-Book"/>
          <w:color w:val="6C6463"/>
        </w:rPr>
        <w:t>.</w:t>
      </w:r>
    </w:p>
    <w:p w14:paraId="5720005C" w14:textId="507398BA" w:rsidR="00C644E8" w:rsidRDefault="00C644E8" w:rsidP="00C644E8">
      <w:pPr>
        <w:pStyle w:val="ListParagraph"/>
        <w:numPr>
          <w:ilvl w:val="0"/>
          <w:numId w:val="33"/>
        </w:numPr>
        <w:rPr>
          <w:rFonts w:ascii="Gill Sans MT" w:eastAsia="MS Mincho" w:hAnsi="Gill Sans MT" w:cs="GillSansMTStd-Book"/>
          <w:color w:val="6C6463"/>
        </w:rPr>
      </w:pPr>
      <w:r>
        <w:rPr>
          <w:rFonts w:ascii="Gill Sans MT" w:eastAsia="MS Mincho" w:hAnsi="Gill Sans MT" w:cs="GillSansMTStd-Book"/>
          <w:color w:val="6C6463"/>
        </w:rPr>
        <w:t xml:space="preserve">Countries </w:t>
      </w:r>
      <w:r w:rsidR="00D06599" w:rsidRPr="00C644E8">
        <w:rPr>
          <w:rFonts w:ascii="Gill Sans MT" w:eastAsia="MS Mincho" w:hAnsi="Gill Sans MT" w:cs="GillSansMTStd-Book"/>
          <w:color w:val="6C6463"/>
        </w:rPr>
        <w:t>may establish cross-ministerial coordinating committees or task forces, as is the case in Bangladesh</w:t>
      </w:r>
      <w:r w:rsidR="00E32E11" w:rsidRPr="00C644E8">
        <w:rPr>
          <w:rFonts w:ascii="Gill Sans MT" w:eastAsia="MS Mincho" w:hAnsi="Gill Sans MT" w:cs="GillSansMTStd-Book"/>
          <w:color w:val="6C6463"/>
        </w:rPr>
        <w:t xml:space="preserve"> (Loizillon &amp; Leclercq, 2016)</w:t>
      </w:r>
      <w:r w:rsidR="00D06599" w:rsidRPr="00C644E8">
        <w:rPr>
          <w:rFonts w:ascii="Gill Sans MT" w:eastAsia="MS Mincho" w:hAnsi="Gill Sans MT" w:cs="GillSansMTStd-Book"/>
          <w:color w:val="6C6463"/>
        </w:rPr>
        <w:t>, Indonesia</w:t>
      </w:r>
      <w:r w:rsidR="00E32E11" w:rsidRPr="00C644E8">
        <w:rPr>
          <w:rFonts w:ascii="Gill Sans MT" w:eastAsia="MS Mincho" w:hAnsi="Gill Sans MT" w:cs="GillSansMTStd-Book"/>
          <w:color w:val="6C6463"/>
        </w:rPr>
        <w:t xml:space="preserve"> (Tan, 2016)</w:t>
      </w:r>
      <w:r w:rsidR="00D06599" w:rsidRPr="00C644E8">
        <w:rPr>
          <w:rFonts w:ascii="Gill Sans MT" w:eastAsia="MS Mincho" w:hAnsi="Gill Sans MT" w:cs="GillSansMTStd-Book"/>
          <w:color w:val="6C6463"/>
        </w:rPr>
        <w:t>, and Vietnam</w:t>
      </w:r>
      <w:r w:rsidR="00E32E11" w:rsidRPr="00C644E8">
        <w:rPr>
          <w:rFonts w:ascii="Gill Sans MT" w:eastAsia="MS Mincho" w:hAnsi="Gill Sans MT" w:cs="GillSansMTStd-Book"/>
          <w:color w:val="6C6463"/>
        </w:rPr>
        <w:t xml:space="preserve"> (</w:t>
      </w:r>
      <w:r w:rsidR="00530751">
        <w:rPr>
          <w:rFonts w:ascii="Gill Sans MT" w:eastAsia="MS Mincho" w:hAnsi="Gill Sans MT" w:cs="GillSansMTStd-Book"/>
          <w:color w:val="6C6463"/>
        </w:rPr>
        <w:t>Asia-Pacific Regional Network for Early Childhood [</w:t>
      </w:r>
      <w:r w:rsidR="00E32E11" w:rsidRPr="00C644E8">
        <w:rPr>
          <w:rFonts w:ascii="Gill Sans MT" w:eastAsia="MS Mincho" w:hAnsi="Gill Sans MT" w:cs="GillSansMTStd-Book"/>
          <w:color w:val="6C6463"/>
        </w:rPr>
        <w:t>ARNEC</w:t>
      </w:r>
      <w:r w:rsidR="00530751">
        <w:rPr>
          <w:rFonts w:ascii="Gill Sans MT" w:eastAsia="MS Mincho" w:hAnsi="Gill Sans MT" w:cs="GillSansMTStd-Book"/>
          <w:color w:val="6C6463"/>
        </w:rPr>
        <w:t>]</w:t>
      </w:r>
      <w:r w:rsidR="00E32E11" w:rsidRPr="00C644E8">
        <w:rPr>
          <w:rFonts w:ascii="Gill Sans MT" w:eastAsia="MS Mincho" w:hAnsi="Gill Sans MT" w:cs="GillSansMTStd-Book"/>
          <w:color w:val="6C6463"/>
        </w:rPr>
        <w:t xml:space="preserve"> web-based profile)</w:t>
      </w:r>
      <w:r w:rsidR="00D06599" w:rsidRPr="00C644E8">
        <w:rPr>
          <w:rFonts w:ascii="Gill Sans MT" w:eastAsia="MS Mincho" w:hAnsi="Gill Sans MT" w:cs="GillSansMTStd-Book"/>
          <w:color w:val="6C6463"/>
        </w:rPr>
        <w:t xml:space="preserve">. </w:t>
      </w:r>
    </w:p>
    <w:p w14:paraId="65227726" w14:textId="1F387781" w:rsidR="00C644E8" w:rsidRDefault="00D06599" w:rsidP="00C644E8">
      <w:pPr>
        <w:pStyle w:val="ListParagraph"/>
        <w:numPr>
          <w:ilvl w:val="0"/>
          <w:numId w:val="33"/>
        </w:numPr>
        <w:rPr>
          <w:rFonts w:ascii="Gill Sans MT" w:eastAsia="MS Mincho" w:hAnsi="Gill Sans MT" w:cs="GillSansMTStd-Book"/>
          <w:color w:val="6C6463"/>
        </w:rPr>
      </w:pPr>
      <w:r w:rsidRPr="00C644E8">
        <w:rPr>
          <w:rFonts w:ascii="Gill Sans MT" w:eastAsia="MS Mincho" w:hAnsi="Gill Sans MT" w:cs="GillSansMTStd-Book"/>
          <w:color w:val="6C6463"/>
        </w:rPr>
        <w:lastRenderedPageBreak/>
        <w:t xml:space="preserve">Countries that have set up inter-ministerial committees, councils, or task forces on </w:t>
      </w:r>
      <w:r w:rsidR="00530751">
        <w:rPr>
          <w:rFonts w:ascii="Gill Sans MT" w:eastAsia="MS Mincho" w:hAnsi="Gill Sans MT" w:cs="GillSansMTStd-Book"/>
          <w:color w:val="6C6463"/>
        </w:rPr>
        <w:t>ECD</w:t>
      </w:r>
      <w:r w:rsidRPr="00C644E8">
        <w:rPr>
          <w:rFonts w:ascii="Gill Sans MT" w:eastAsia="MS Mincho" w:hAnsi="Gill Sans MT" w:cs="GillSansMTStd-Book"/>
          <w:color w:val="6C6463"/>
        </w:rPr>
        <w:t xml:space="preserve"> include Cambodia, Nepal, and the Philippines</w:t>
      </w:r>
      <w:r w:rsidR="00E32E11" w:rsidRPr="00C644E8">
        <w:rPr>
          <w:rFonts w:ascii="Gill Sans MT" w:eastAsia="MS Mincho" w:hAnsi="Gill Sans MT" w:cs="GillSansMTStd-Book"/>
          <w:color w:val="6C6463"/>
        </w:rPr>
        <w:t xml:space="preserve"> (Loizillon &amp; Leclercq, 2016; ARNEC web-based </w:t>
      </w:r>
      <w:r w:rsidR="00530751">
        <w:rPr>
          <w:rFonts w:ascii="Gill Sans MT" w:eastAsia="MS Mincho" w:hAnsi="Gill Sans MT" w:cs="GillSansMTStd-Book"/>
          <w:color w:val="6C6463"/>
        </w:rPr>
        <w:t>c</w:t>
      </w:r>
      <w:r w:rsidR="00530751" w:rsidRPr="00C644E8">
        <w:rPr>
          <w:rFonts w:ascii="Gill Sans MT" w:eastAsia="MS Mincho" w:hAnsi="Gill Sans MT" w:cs="GillSansMTStd-Book"/>
          <w:color w:val="6C6463"/>
        </w:rPr>
        <w:t xml:space="preserve">ountry </w:t>
      </w:r>
      <w:r w:rsidR="00E32E11" w:rsidRPr="00C644E8">
        <w:rPr>
          <w:rFonts w:ascii="Gill Sans MT" w:eastAsia="MS Mincho" w:hAnsi="Gill Sans MT" w:cs="GillSansMTStd-Book"/>
          <w:color w:val="6C6463"/>
        </w:rPr>
        <w:t>profiles).</w:t>
      </w:r>
    </w:p>
    <w:p w14:paraId="7F514754" w14:textId="001ABBC2" w:rsidR="00D06599" w:rsidRPr="00C644E8" w:rsidRDefault="00D06599" w:rsidP="00C644E8">
      <w:r w:rsidRPr="00C644E8">
        <w:t>Effective coordination across ministries can be difficult, however, as shown in Kyrgyzstan</w:t>
      </w:r>
      <w:r w:rsidR="00E32E11" w:rsidRPr="00C644E8">
        <w:t xml:space="preserve"> (</w:t>
      </w:r>
      <w:r w:rsidR="00C62DBE">
        <w:t>The World Bank Systems Approach for Better Education Results [</w:t>
      </w:r>
      <w:r w:rsidR="00E32E11" w:rsidRPr="00C644E8">
        <w:t>SABER</w:t>
      </w:r>
      <w:r w:rsidR="00C62DBE">
        <w:t>]</w:t>
      </w:r>
      <w:r w:rsidR="00E32E11" w:rsidRPr="00C644E8">
        <w:t>, 2013a)</w:t>
      </w:r>
      <w:r w:rsidRPr="00C644E8">
        <w:t>, Lao PDR</w:t>
      </w:r>
      <w:r w:rsidR="00E32E11" w:rsidRPr="00C644E8">
        <w:t xml:space="preserve"> (Britto et al.</w:t>
      </w:r>
      <w:r w:rsidR="00530751">
        <w:t>,</w:t>
      </w:r>
      <w:r w:rsidR="00E32E11" w:rsidRPr="00C644E8">
        <w:t xml:space="preserve"> 2013)</w:t>
      </w:r>
      <w:r w:rsidRPr="00C644E8">
        <w:t>, and Tajikistan</w:t>
      </w:r>
      <w:r w:rsidR="00E32E11" w:rsidRPr="00C644E8">
        <w:t xml:space="preserve"> (SABER, 2013c)</w:t>
      </w:r>
      <w:r w:rsidRPr="00C644E8">
        <w:t>.</w:t>
      </w:r>
    </w:p>
    <w:p w14:paraId="6C2A6EFA" w14:textId="77777777" w:rsidR="00BF6CB8" w:rsidRDefault="00BF6CB8" w:rsidP="00BF6CB8">
      <w:pPr>
        <w:pStyle w:val="Heading3"/>
      </w:pPr>
      <w:r w:rsidRPr="00A4329B">
        <w:t xml:space="preserve">Coordination and collaboration with and between international agencies, NGOs, and the private sector </w:t>
      </w:r>
    </w:p>
    <w:p w14:paraId="0A32BF5F" w14:textId="35A1154F" w:rsidR="005D7CCC" w:rsidRDefault="00BF6CB8" w:rsidP="00BF6CB8">
      <w:r>
        <w:t>ECE in many countries is substantially</w:t>
      </w:r>
      <w:r w:rsidR="005D7CCC">
        <w:t>,</w:t>
      </w:r>
      <w:r>
        <w:t xml:space="preserve"> and in some cases predominantly</w:t>
      </w:r>
      <w:r w:rsidR="005D7CCC">
        <w:t>,</w:t>
      </w:r>
      <w:r>
        <w:t xml:space="preserve"> funded and supported by nongovernment actors</w:t>
      </w:r>
      <w:r w:rsidRPr="00E9074C">
        <w:t>.</w:t>
      </w:r>
      <w:r>
        <w:t xml:space="preserve"> </w:t>
      </w:r>
      <w:r w:rsidRPr="00E9074C">
        <w:t xml:space="preserve">India and Indonesia have very high proportions of nongovernment sector participation in the provision of ECE programming, followed by Bangladesh and Nepal. </w:t>
      </w:r>
    </w:p>
    <w:p w14:paraId="32F06AA0" w14:textId="149CBC62" w:rsidR="00BF6CB8" w:rsidRDefault="00BF6CB8" w:rsidP="00BF6CB8">
      <w:r>
        <w:t>With such a range of actors, opportunities for innovation as well as exploitation call for effective governance, oversight</w:t>
      </w:r>
      <w:r w:rsidR="00C62DBE">
        <w:t>,</w:t>
      </w:r>
      <w:r>
        <w:t xml:space="preserve"> and coordination.</w:t>
      </w:r>
      <w:r w:rsidRPr="00E9074C">
        <w:t xml:space="preserve"> </w:t>
      </w:r>
      <w:r>
        <w:t xml:space="preserve">For example, the Bangladesh ECD </w:t>
      </w:r>
      <w:r w:rsidRPr="000A5D5A">
        <w:t>Network brought together government and NGO actors (including BRAC, Save the Children, Plan) to help develop and push for ECE policies</w:t>
      </w:r>
      <w:r>
        <w:t>; o</w:t>
      </w:r>
      <w:r w:rsidRPr="000A5D5A">
        <w:t>ther key players include USAID, Bernard Van Leer Foundation, UNICEF, UNESCO, and The World Bank (Graham</w:t>
      </w:r>
      <w:r w:rsidR="00530751">
        <w:t>,</w:t>
      </w:r>
      <w:r w:rsidRPr="000A5D5A">
        <w:t xml:space="preserve"> 201</w:t>
      </w:r>
      <w:r w:rsidR="00F50D1F">
        <w:t>7</w:t>
      </w:r>
      <w:r w:rsidRPr="000A5D5A">
        <w:t>).</w:t>
      </w:r>
      <w:r>
        <w:t xml:space="preserve"> </w:t>
      </w:r>
    </w:p>
    <w:p w14:paraId="4C375511" w14:textId="77777777" w:rsidR="00BF6CB8" w:rsidRDefault="00BF6CB8" w:rsidP="00BF6CB8">
      <w:pPr>
        <w:pStyle w:val="Heading3"/>
      </w:pPr>
      <w:r>
        <w:t>S</w:t>
      </w:r>
      <w:r w:rsidRPr="00E15C4C">
        <w:t xml:space="preserve">ubnational </w:t>
      </w:r>
      <w:r>
        <w:t xml:space="preserve">and particularly local </w:t>
      </w:r>
      <w:r w:rsidRPr="00E15C4C">
        <w:t>engagement</w:t>
      </w:r>
    </w:p>
    <w:p w14:paraId="01C737F5" w14:textId="6445DB51" w:rsidR="00BF6CB8" w:rsidRDefault="00BF6CB8" w:rsidP="00BF6CB8">
      <w:r>
        <w:t xml:space="preserve">The relationship of ECE to its surrounding community is ideally a close one, as such programs strive to help children and families negotiate the social and cultural shift from the home to the school setting. In terms of governance, a strong local role in selecting and implementing approaches, and local accountability, can help ensure that a program will be responsive to the local context and increase its chances for sustainability over the longer term. Several of the focus countries for this report offer promising cases of local governance of ECE, such as Bangladesh’s </w:t>
      </w:r>
      <w:r w:rsidRPr="000A5D5A">
        <w:t>School Learning Improvement Plan (</w:t>
      </w:r>
      <w:r w:rsidR="0080459E" w:rsidRPr="000A5D5A">
        <w:t>Graham</w:t>
      </w:r>
      <w:r w:rsidR="0080459E">
        <w:t>,</w:t>
      </w:r>
      <w:r w:rsidR="0080459E" w:rsidRPr="000A5D5A">
        <w:t xml:space="preserve"> 2016</w:t>
      </w:r>
      <w:r w:rsidRPr="000A5D5A">
        <w:t>)</w:t>
      </w:r>
      <w:r>
        <w:t xml:space="preserve"> and Cambodia’s national task force for early childhood</w:t>
      </w:r>
      <w:r w:rsidR="0080459E">
        <w:t xml:space="preserve"> (</w:t>
      </w:r>
      <w:r w:rsidR="0080459E" w:rsidRPr="000A5D5A">
        <w:rPr>
          <w:rFonts w:cs="Times New Roman"/>
        </w:rPr>
        <w:t>Britto et al.</w:t>
      </w:r>
      <w:r w:rsidR="00530751">
        <w:rPr>
          <w:rFonts w:cs="Times New Roman"/>
        </w:rPr>
        <w:t>,</w:t>
      </w:r>
      <w:r w:rsidR="0080459E" w:rsidRPr="000A5D5A">
        <w:rPr>
          <w:rFonts w:cs="Times New Roman"/>
        </w:rPr>
        <w:t xml:space="preserve"> 2013</w:t>
      </w:r>
      <w:r w:rsidR="0080459E">
        <w:rPr>
          <w:rFonts w:cs="Times New Roman"/>
        </w:rPr>
        <w:t>)</w:t>
      </w:r>
      <w:r>
        <w:t>.</w:t>
      </w:r>
    </w:p>
    <w:p w14:paraId="52BA701E" w14:textId="4D2E8434" w:rsidR="00BF6CB8" w:rsidRPr="00BF6CB8" w:rsidRDefault="00BF6CB8" w:rsidP="00BF6CB8">
      <w:r>
        <w:rPr>
          <w:rFonts w:cs="Times New Roman"/>
        </w:rPr>
        <w:t xml:space="preserve">Depending on the country, subnational states, provinces, and districts may have </w:t>
      </w:r>
      <w:proofErr w:type="gramStart"/>
      <w:r>
        <w:rPr>
          <w:rFonts w:cs="Times New Roman"/>
        </w:rPr>
        <w:t>more or less mandated</w:t>
      </w:r>
      <w:proofErr w:type="gramEnd"/>
      <w:r>
        <w:rPr>
          <w:rFonts w:cs="Times New Roman"/>
        </w:rPr>
        <w:t xml:space="preserve"> authority over ECE programming, oversight, and financing. Compared to national and community levels, </w:t>
      </w:r>
      <w:r w:rsidR="00C62DBE">
        <w:rPr>
          <w:rFonts w:cs="Times New Roman"/>
        </w:rPr>
        <w:t xml:space="preserve">intermediate levels of government, </w:t>
      </w:r>
      <w:r>
        <w:rPr>
          <w:rFonts w:cs="Times New Roman"/>
        </w:rPr>
        <w:t>analysts often point out</w:t>
      </w:r>
      <w:r w:rsidR="00C62DBE">
        <w:rPr>
          <w:rFonts w:cs="Times New Roman"/>
        </w:rPr>
        <w:t>, are</w:t>
      </w:r>
      <w:r>
        <w:rPr>
          <w:rFonts w:cs="Times New Roman"/>
        </w:rPr>
        <w:t xml:space="preserve"> relative</w:t>
      </w:r>
      <w:r w:rsidR="00C62DBE">
        <w:rPr>
          <w:rFonts w:cs="Times New Roman"/>
        </w:rPr>
        <w:t>ly</w:t>
      </w:r>
      <w:r>
        <w:rPr>
          <w:rFonts w:cs="Times New Roman"/>
        </w:rPr>
        <w:t xml:space="preserve"> weak </w:t>
      </w:r>
      <w:r w:rsidR="00C62DBE">
        <w:rPr>
          <w:rFonts w:cs="Times New Roman"/>
        </w:rPr>
        <w:t>in</w:t>
      </w:r>
      <w:r>
        <w:rPr>
          <w:rFonts w:cs="Times New Roman"/>
        </w:rPr>
        <w:t xml:space="preserve"> </w:t>
      </w:r>
      <w:r w:rsidR="00C62DBE">
        <w:rPr>
          <w:rFonts w:cs="Times New Roman"/>
        </w:rPr>
        <w:t xml:space="preserve">exercising </w:t>
      </w:r>
      <w:r>
        <w:rPr>
          <w:rFonts w:cs="Times New Roman"/>
        </w:rPr>
        <w:t>much authority or effectively support</w:t>
      </w:r>
      <w:r w:rsidR="00C62DBE">
        <w:rPr>
          <w:rFonts w:cs="Times New Roman"/>
        </w:rPr>
        <w:t>ing</w:t>
      </w:r>
      <w:r>
        <w:rPr>
          <w:rFonts w:cs="Times New Roman"/>
        </w:rPr>
        <w:t xml:space="preserve"> implementation or coordination (Britto et al., 2013; Loizillon &amp; Lecler</w:t>
      </w:r>
      <w:r w:rsidR="007D5903">
        <w:rPr>
          <w:rFonts w:cs="Times New Roman"/>
        </w:rPr>
        <w:t>c</w:t>
      </w:r>
      <w:r>
        <w:rPr>
          <w:rFonts w:cs="Times New Roman"/>
        </w:rPr>
        <w:t>q 2016; SABER 2013a, 2013b, 2013c)</w:t>
      </w:r>
      <w:r w:rsidR="00900557">
        <w:rPr>
          <w:rFonts w:cs="Times New Roman"/>
        </w:rPr>
        <w:t>.</w:t>
      </w:r>
    </w:p>
    <w:p w14:paraId="556C1EFE" w14:textId="77777777" w:rsidR="00BF6CB8" w:rsidRDefault="00BF6CB8" w:rsidP="00BF6CB8">
      <w:pPr>
        <w:pStyle w:val="ExhibitTitle"/>
        <w:pBdr>
          <w:top w:val="single" w:sz="18" w:space="1" w:color="BA0C2F"/>
        </w:pBdr>
      </w:pPr>
      <w:r w:rsidRPr="00A4329B">
        <w:t xml:space="preserve"> </w:t>
      </w:r>
      <w:r>
        <w:t>Analysis and Recommendations</w:t>
      </w:r>
    </w:p>
    <w:tbl>
      <w:tblPr>
        <w:tblStyle w:val="TableGrid"/>
        <w:tblW w:w="9355" w:type="dxa"/>
        <w:tblBorders>
          <w:top w:val="single" w:sz="24" w:space="0" w:color="BA0C2F"/>
          <w:left w:val="none" w:sz="0" w:space="0" w:color="auto"/>
          <w:bottom w:val="single" w:sz="24" w:space="0" w:color="BA0C2F"/>
          <w:right w:val="none" w:sz="0" w:space="0" w:color="auto"/>
          <w:insideH w:val="single" w:sz="24" w:space="0" w:color="BA0C2F"/>
        </w:tblBorders>
        <w:tblLook w:val="04A0" w:firstRow="1" w:lastRow="0" w:firstColumn="1" w:lastColumn="0" w:noHBand="0" w:noVBand="1"/>
      </w:tblPr>
      <w:tblGrid>
        <w:gridCol w:w="3955"/>
        <w:gridCol w:w="5400"/>
      </w:tblGrid>
      <w:tr w:rsidR="00BF6CB8" w14:paraId="09DE17F3" w14:textId="77777777" w:rsidTr="00D30DD5">
        <w:tc>
          <w:tcPr>
            <w:tcW w:w="3955" w:type="dxa"/>
            <w:tcBorders>
              <w:top w:val="nil"/>
              <w:bottom w:val="nil"/>
              <w:right w:val="nil"/>
            </w:tcBorders>
            <w:shd w:val="clear" w:color="auto" w:fill="D9D9D9" w:themeFill="background1" w:themeFillShade="D9"/>
            <w:tcMar>
              <w:top w:w="43" w:type="dxa"/>
              <w:left w:w="72" w:type="dxa"/>
              <w:bottom w:w="43" w:type="dxa"/>
              <w:right w:w="72" w:type="dxa"/>
            </w:tcMar>
          </w:tcPr>
          <w:p w14:paraId="2FEDDCED" w14:textId="77777777" w:rsidR="00BF6CB8" w:rsidRPr="00553731" w:rsidRDefault="00BF6CB8" w:rsidP="00627BFD">
            <w:pPr>
              <w:pStyle w:val="TableColHead"/>
            </w:pPr>
            <w:r w:rsidRPr="00553731">
              <w:t>Analysis</w:t>
            </w:r>
          </w:p>
        </w:tc>
        <w:tc>
          <w:tcPr>
            <w:tcW w:w="5400" w:type="dxa"/>
            <w:tcBorders>
              <w:top w:val="nil"/>
              <w:left w:val="nil"/>
              <w:bottom w:val="nil"/>
            </w:tcBorders>
            <w:shd w:val="clear" w:color="auto" w:fill="D9D9D9" w:themeFill="background1" w:themeFillShade="D9"/>
            <w:tcMar>
              <w:top w:w="43" w:type="dxa"/>
              <w:left w:w="72" w:type="dxa"/>
              <w:bottom w:w="43" w:type="dxa"/>
              <w:right w:w="72" w:type="dxa"/>
            </w:tcMar>
          </w:tcPr>
          <w:p w14:paraId="53414417" w14:textId="77777777" w:rsidR="00BF6CB8" w:rsidRDefault="00BF6CB8" w:rsidP="00627BFD">
            <w:pPr>
              <w:pStyle w:val="TableColHead"/>
            </w:pPr>
            <w:r w:rsidRPr="00553731">
              <w:t>Recommendations</w:t>
            </w:r>
          </w:p>
        </w:tc>
      </w:tr>
      <w:tr w:rsidR="007222B4" w14:paraId="0E5F9CDB" w14:textId="77777777" w:rsidTr="00D30DD5">
        <w:tc>
          <w:tcPr>
            <w:tcW w:w="3955" w:type="dxa"/>
            <w:tcBorders>
              <w:top w:val="nil"/>
              <w:bottom w:val="nil"/>
              <w:right w:val="nil"/>
            </w:tcBorders>
            <w:shd w:val="clear" w:color="auto" w:fill="D9D9D9" w:themeFill="background1" w:themeFillShade="D9"/>
            <w:tcMar>
              <w:top w:w="43" w:type="dxa"/>
              <w:left w:w="72" w:type="dxa"/>
              <w:bottom w:w="43" w:type="dxa"/>
              <w:right w:w="72" w:type="dxa"/>
            </w:tcMar>
          </w:tcPr>
          <w:p w14:paraId="284986D7" w14:textId="6D322939" w:rsidR="007222B4" w:rsidRPr="00941608" w:rsidRDefault="007222B4" w:rsidP="007222B4">
            <w:pPr>
              <w:pStyle w:val="Tableceltext"/>
              <w:rPr>
                <w:sz w:val="18"/>
                <w:szCs w:val="18"/>
              </w:rPr>
            </w:pPr>
            <w:r w:rsidRPr="00941608">
              <w:rPr>
                <w:sz w:val="18"/>
                <w:szCs w:val="18"/>
              </w:rPr>
              <w:t xml:space="preserve">Countries vary considerably in the proportion of </w:t>
            </w:r>
            <w:r w:rsidR="00BA799B" w:rsidRPr="00941608">
              <w:rPr>
                <w:sz w:val="18"/>
                <w:szCs w:val="18"/>
              </w:rPr>
              <w:t>enroll</w:t>
            </w:r>
            <w:r w:rsidR="00BA799B">
              <w:rPr>
                <w:sz w:val="18"/>
                <w:szCs w:val="18"/>
              </w:rPr>
              <w:t>ed students who</w:t>
            </w:r>
            <w:r w:rsidR="00BA799B" w:rsidRPr="00941608">
              <w:rPr>
                <w:sz w:val="18"/>
                <w:szCs w:val="18"/>
              </w:rPr>
              <w:t xml:space="preserve"> </w:t>
            </w:r>
            <w:r w:rsidRPr="00941608">
              <w:rPr>
                <w:sz w:val="18"/>
                <w:szCs w:val="18"/>
              </w:rPr>
              <w:t>attend nongovernment pre-primary schools</w:t>
            </w:r>
            <w:r w:rsidR="00811A34">
              <w:rPr>
                <w:sz w:val="18"/>
                <w:szCs w:val="18"/>
              </w:rPr>
              <w:t xml:space="preserve"> This proportion is</w:t>
            </w:r>
            <w:r w:rsidR="00811A34" w:rsidRPr="00941608">
              <w:rPr>
                <w:sz w:val="18"/>
                <w:szCs w:val="18"/>
              </w:rPr>
              <w:t xml:space="preserve"> </w:t>
            </w:r>
            <w:r w:rsidRPr="00941608">
              <w:rPr>
                <w:sz w:val="18"/>
                <w:szCs w:val="18"/>
              </w:rPr>
              <w:t>an indicator that offers a rough though imperfect proxy for private, NGO, and household contributions to ECE provision, which, if high, might be expected to justify or balance relatively low government expenditure.</w:t>
            </w:r>
          </w:p>
        </w:tc>
        <w:tc>
          <w:tcPr>
            <w:tcW w:w="5400" w:type="dxa"/>
            <w:tcBorders>
              <w:top w:val="nil"/>
              <w:left w:val="nil"/>
              <w:bottom w:val="nil"/>
            </w:tcBorders>
            <w:shd w:val="clear" w:color="auto" w:fill="D9D9D9" w:themeFill="background1" w:themeFillShade="D9"/>
            <w:tcMar>
              <w:top w:w="43" w:type="dxa"/>
              <w:left w:w="72" w:type="dxa"/>
              <w:bottom w:w="43" w:type="dxa"/>
              <w:right w:w="72" w:type="dxa"/>
            </w:tcMar>
          </w:tcPr>
          <w:p w14:paraId="27C6BD79" w14:textId="0433C911" w:rsidR="007222B4" w:rsidRPr="00941608" w:rsidRDefault="007222B4" w:rsidP="007222B4">
            <w:pPr>
              <w:pStyle w:val="Tableceltext"/>
              <w:rPr>
                <w:sz w:val="18"/>
                <w:szCs w:val="18"/>
              </w:rPr>
            </w:pPr>
            <w:r w:rsidRPr="00941608">
              <w:rPr>
                <w:sz w:val="18"/>
                <w:szCs w:val="18"/>
              </w:rPr>
              <w:t xml:space="preserve">Government is not the only important source of financing that </w:t>
            </w:r>
            <w:r w:rsidR="00811A34">
              <w:rPr>
                <w:sz w:val="18"/>
                <w:szCs w:val="18"/>
              </w:rPr>
              <w:t>must</w:t>
            </w:r>
            <w:r w:rsidRPr="00941608">
              <w:rPr>
                <w:sz w:val="18"/>
                <w:szCs w:val="18"/>
              </w:rPr>
              <w:t xml:space="preserve"> be considered. These relatively more available proxy indicators can mask potentially high household contributions even for children attending public ECE </w:t>
            </w:r>
            <w:r w:rsidR="00811A34">
              <w:rPr>
                <w:sz w:val="18"/>
                <w:szCs w:val="18"/>
              </w:rPr>
              <w:t>schools.</w:t>
            </w:r>
            <w:r w:rsidR="00811A34" w:rsidRPr="00941608">
              <w:rPr>
                <w:sz w:val="18"/>
                <w:szCs w:val="18"/>
              </w:rPr>
              <w:t xml:space="preserve"> </w:t>
            </w:r>
            <w:r w:rsidR="00811A34">
              <w:rPr>
                <w:sz w:val="18"/>
                <w:szCs w:val="18"/>
              </w:rPr>
              <w:t>There is also</w:t>
            </w:r>
            <w:r w:rsidR="00811A34" w:rsidRPr="00941608">
              <w:rPr>
                <w:sz w:val="18"/>
                <w:szCs w:val="18"/>
              </w:rPr>
              <w:t xml:space="preserve"> </w:t>
            </w:r>
            <w:r w:rsidRPr="00941608">
              <w:rPr>
                <w:sz w:val="18"/>
                <w:szCs w:val="18"/>
              </w:rPr>
              <w:t>the possibility that government systems may be funding private, NGO, and community schools.</w:t>
            </w:r>
            <w:r>
              <w:t xml:space="preserve"> </w:t>
            </w:r>
            <w:r w:rsidRPr="00941608">
              <w:rPr>
                <w:sz w:val="18"/>
                <w:szCs w:val="18"/>
              </w:rPr>
              <w:t>The utility of international (UNICEF and ILO) benchmarks to assess the adequacy of government financing will continue to be limited if availability of comparable data, including clearly disaggregated data on all sources of funding, across countries, is not improved, and unless other factors such as cost-efficiency (a concern for Kyrgyzstan) are also considered.</w:t>
            </w:r>
          </w:p>
        </w:tc>
      </w:tr>
      <w:tr w:rsidR="007222B4" w14:paraId="03E6C819" w14:textId="77777777" w:rsidTr="00D30DD5">
        <w:tc>
          <w:tcPr>
            <w:tcW w:w="3955" w:type="dxa"/>
            <w:tcBorders>
              <w:top w:val="nil"/>
              <w:bottom w:val="nil"/>
              <w:right w:val="nil"/>
            </w:tcBorders>
            <w:shd w:val="clear" w:color="auto" w:fill="D9D9D9" w:themeFill="background1" w:themeFillShade="D9"/>
            <w:tcMar>
              <w:top w:w="43" w:type="dxa"/>
              <w:left w:w="72" w:type="dxa"/>
              <w:bottom w:w="43" w:type="dxa"/>
              <w:right w:w="72" w:type="dxa"/>
            </w:tcMar>
          </w:tcPr>
          <w:p w14:paraId="389EC022" w14:textId="77777777" w:rsidR="007222B4" w:rsidRPr="00BE63DA" w:rsidRDefault="007222B4" w:rsidP="007222B4">
            <w:pPr>
              <w:pStyle w:val="Tableceltext"/>
              <w:rPr>
                <w:sz w:val="18"/>
                <w:szCs w:val="18"/>
              </w:rPr>
            </w:pPr>
            <w:r w:rsidRPr="00BE63DA">
              <w:rPr>
                <w:sz w:val="18"/>
                <w:szCs w:val="18"/>
              </w:rPr>
              <w:lastRenderedPageBreak/>
              <w:t xml:space="preserve">Countries vary regarding their implementation of coordination across government structures. </w:t>
            </w:r>
          </w:p>
        </w:tc>
        <w:tc>
          <w:tcPr>
            <w:tcW w:w="5400" w:type="dxa"/>
            <w:tcBorders>
              <w:top w:val="nil"/>
              <w:left w:val="nil"/>
              <w:bottom w:val="nil"/>
            </w:tcBorders>
            <w:shd w:val="clear" w:color="auto" w:fill="D9D9D9" w:themeFill="background1" w:themeFillShade="D9"/>
            <w:tcMar>
              <w:top w:w="43" w:type="dxa"/>
              <w:left w:w="72" w:type="dxa"/>
              <w:bottom w:w="43" w:type="dxa"/>
              <w:right w:w="72" w:type="dxa"/>
            </w:tcMar>
          </w:tcPr>
          <w:p w14:paraId="3D3DB8C9" w14:textId="51B54ED7" w:rsidR="007222B4" w:rsidRPr="004E2F12" w:rsidRDefault="007222B4" w:rsidP="007222B4">
            <w:pPr>
              <w:pStyle w:val="Tableceltext"/>
              <w:rPr>
                <w:sz w:val="18"/>
                <w:szCs w:val="18"/>
              </w:rPr>
            </w:pPr>
            <w:r w:rsidRPr="004E2F12">
              <w:rPr>
                <w:sz w:val="18"/>
                <w:szCs w:val="18"/>
              </w:rPr>
              <w:t xml:space="preserve">The degree to which a country invests in data systems to understand and manage the ECE sector across ministries can be indicative of government commitment to the sector as well as its capacity </w:t>
            </w:r>
            <w:r w:rsidR="007D5903" w:rsidRPr="004E2F12">
              <w:rPr>
                <w:sz w:val="18"/>
                <w:szCs w:val="18"/>
              </w:rPr>
              <w:t>to manage</w:t>
            </w:r>
            <w:r w:rsidRPr="004E2F12">
              <w:rPr>
                <w:sz w:val="18"/>
                <w:szCs w:val="18"/>
              </w:rPr>
              <w:t xml:space="preserve"> and coordinate its services, and the sheer complexity of doing so given the plurality of sectors and actors. </w:t>
            </w:r>
          </w:p>
        </w:tc>
      </w:tr>
      <w:tr w:rsidR="007222B4" w14:paraId="304E882D" w14:textId="77777777" w:rsidTr="00D30DD5">
        <w:tc>
          <w:tcPr>
            <w:tcW w:w="3955" w:type="dxa"/>
            <w:tcBorders>
              <w:top w:val="nil"/>
              <w:bottom w:val="nil"/>
              <w:right w:val="nil"/>
            </w:tcBorders>
            <w:shd w:val="clear" w:color="auto" w:fill="D9D9D9" w:themeFill="background1" w:themeFillShade="D9"/>
            <w:tcMar>
              <w:top w:w="43" w:type="dxa"/>
              <w:left w:w="72" w:type="dxa"/>
              <w:bottom w:w="43" w:type="dxa"/>
              <w:right w:w="72" w:type="dxa"/>
            </w:tcMar>
          </w:tcPr>
          <w:p w14:paraId="479708BA" w14:textId="339E7AC1" w:rsidR="007222B4" w:rsidRPr="00BE63DA" w:rsidRDefault="00BE63DA" w:rsidP="007222B4">
            <w:pPr>
              <w:pStyle w:val="Tableceltext"/>
              <w:rPr>
                <w:sz w:val="18"/>
                <w:szCs w:val="18"/>
              </w:rPr>
            </w:pPr>
            <w:r w:rsidRPr="00BE63DA">
              <w:rPr>
                <w:sz w:val="18"/>
                <w:szCs w:val="18"/>
              </w:rPr>
              <w:t xml:space="preserve">For the most part, the countries under review in this paper have acknowledged the need for coordination, both through joint development of policy frameworks for ECE and in the establishment of committees or tasks forces, generally led by the </w:t>
            </w:r>
            <w:r w:rsidR="00811A34" w:rsidRPr="00BE63DA">
              <w:rPr>
                <w:sz w:val="18"/>
                <w:szCs w:val="18"/>
              </w:rPr>
              <w:t xml:space="preserve">ministry of education </w:t>
            </w:r>
            <w:r w:rsidRPr="00BE63DA">
              <w:rPr>
                <w:sz w:val="18"/>
                <w:szCs w:val="18"/>
              </w:rPr>
              <w:t>or its equivalent, to enable inter-ministerial and government</w:t>
            </w:r>
            <w:r w:rsidR="00811A34">
              <w:rPr>
                <w:sz w:val="18"/>
                <w:szCs w:val="18"/>
              </w:rPr>
              <w:t>–</w:t>
            </w:r>
            <w:r w:rsidRPr="00BE63DA">
              <w:rPr>
                <w:sz w:val="18"/>
                <w:szCs w:val="18"/>
              </w:rPr>
              <w:t>nongovernment coordination of ECE programming. However, the functionality and effectiveness of such mechanisms varies.</w:t>
            </w:r>
          </w:p>
        </w:tc>
        <w:tc>
          <w:tcPr>
            <w:tcW w:w="5400" w:type="dxa"/>
            <w:tcBorders>
              <w:top w:val="nil"/>
              <w:left w:val="nil"/>
              <w:bottom w:val="nil"/>
            </w:tcBorders>
            <w:shd w:val="clear" w:color="auto" w:fill="D9D9D9" w:themeFill="background1" w:themeFillShade="D9"/>
            <w:tcMar>
              <w:top w:w="43" w:type="dxa"/>
              <w:left w:w="72" w:type="dxa"/>
              <w:bottom w:w="43" w:type="dxa"/>
              <w:right w:w="72" w:type="dxa"/>
            </w:tcMar>
          </w:tcPr>
          <w:p w14:paraId="18D1092F" w14:textId="1A4EC543" w:rsidR="00BE63DA" w:rsidRPr="00BE63DA" w:rsidRDefault="00BE63DA" w:rsidP="00BE63DA">
            <w:pPr>
              <w:pStyle w:val="BodyText"/>
              <w:rPr>
                <w:rFonts w:ascii="Gill Sans MT" w:hAnsi="Gill Sans MT"/>
                <w:color w:val="595959" w:themeColor="text1" w:themeTint="A6"/>
                <w:sz w:val="18"/>
                <w:szCs w:val="18"/>
              </w:rPr>
            </w:pPr>
            <w:r w:rsidRPr="00BE63DA">
              <w:rPr>
                <w:rFonts w:ascii="Gill Sans MT" w:hAnsi="Gill Sans MT"/>
                <w:color w:val="595959" w:themeColor="text1" w:themeTint="A6"/>
                <w:sz w:val="18"/>
                <w:szCs w:val="18"/>
              </w:rPr>
              <w:t>National-level networks that bring together government and nongovernment actors with international agencies and NGOs, and village- or commune-level efforts that promote and support the development and spread of local ECE solutions</w:t>
            </w:r>
            <w:r w:rsidR="00811A34">
              <w:rPr>
                <w:rFonts w:ascii="Gill Sans MT" w:hAnsi="Gill Sans MT"/>
                <w:color w:val="595959" w:themeColor="text1" w:themeTint="A6"/>
                <w:sz w:val="18"/>
                <w:szCs w:val="18"/>
              </w:rPr>
              <w:t>,</w:t>
            </w:r>
            <w:r w:rsidRPr="00BE63DA">
              <w:rPr>
                <w:rFonts w:ascii="Gill Sans MT" w:hAnsi="Gill Sans MT"/>
                <w:color w:val="595959" w:themeColor="text1" w:themeTint="A6"/>
                <w:sz w:val="18"/>
                <w:szCs w:val="18"/>
              </w:rPr>
              <w:t xml:space="preserve"> may be more readily adaptable to a broader range of settings, as they depend less on well-established governmental hierarchical relationships to be introduced and maintained.</w:t>
            </w:r>
          </w:p>
          <w:p w14:paraId="08369068" w14:textId="77777777" w:rsidR="007222B4" w:rsidRPr="00D06599" w:rsidRDefault="007222B4" w:rsidP="007222B4">
            <w:pPr>
              <w:pStyle w:val="Tableceltext"/>
            </w:pPr>
          </w:p>
        </w:tc>
      </w:tr>
    </w:tbl>
    <w:p w14:paraId="4074B870" w14:textId="77777777" w:rsidR="00815469" w:rsidRPr="005F1B34" w:rsidRDefault="00815469" w:rsidP="005F1B34">
      <w:pPr>
        <w:pStyle w:val="Heading2"/>
      </w:pPr>
      <w:r w:rsidRPr="005F1B34">
        <w:t>References</w:t>
      </w:r>
    </w:p>
    <w:p w14:paraId="778650FA" w14:textId="77777777" w:rsidR="00F50D1F" w:rsidRPr="006C3846" w:rsidRDefault="00F50D1F" w:rsidP="00F50D1F">
      <w:pPr>
        <w:pStyle w:val="References"/>
        <w:rPr>
          <w:szCs w:val="22"/>
        </w:rPr>
      </w:pPr>
      <w:r w:rsidRPr="006C3846">
        <w:rPr>
          <w:szCs w:val="22"/>
        </w:rPr>
        <w:t xml:space="preserve">Asia Pacific Regional Network for Early Childhood (ARNEC). (2018a). </w:t>
      </w:r>
      <w:r w:rsidRPr="006C3846">
        <w:rPr>
          <w:i/>
          <w:szCs w:val="22"/>
        </w:rPr>
        <w:t>Bangladesh country profile</w:t>
      </w:r>
      <w:r w:rsidRPr="006C3846">
        <w:rPr>
          <w:szCs w:val="22"/>
        </w:rPr>
        <w:t xml:space="preserve">. Retrieved from </w:t>
      </w:r>
      <w:hyperlink r:id="rId10" w:history="1">
        <w:r w:rsidRPr="00F50D1F">
          <w:rPr>
            <w:rStyle w:val="Hyperlink"/>
            <w:sz w:val="16"/>
          </w:rPr>
          <w:t>http://arnec.net/country/bangladesh-</w:t>
        </w:r>
      </w:hyperlink>
    </w:p>
    <w:p w14:paraId="0CF33AB4" w14:textId="77777777" w:rsidR="00F50D1F" w:rsidRPr="00F50D1F" w:rsidRDefault="00F50D1F" w:rsidP="00F50D1F">
      <w:pPr>
        <w:pStyle w:val="References"/>
      </w:pPr>
      <w:r w:rsidRPr="006C3846">
        <w:rPr>
          <w:szCs w:val="22"/>
        </w:rPr>
        <w:t xml:space="preserve">ARNEC. (2018b). </w:t>
      </w:r>
      <w:r w:rsidRPr="006C3846">
        <w:rPr>
          <w:i/>
          <w:szCs w:val="22"/>
        </w:rPr>
        <w:t>Cambodia country profile</w:t>
      </w:r>
      <w:r w:rsidRPr="006C3846">
        <w:rPr>
          <w:szCs w:val="22"/>
        </w:rPr>
        <w:t xml:space="preserve">. Retrieved from </w:t>
      </w:r>
      <w:hyperlink r:id="rId11" w:history="1">
        <w:r w:rsidRPr="00F50D1F">
          <w:rPr>
            <w:rStyle w:val="Hyperlink"/>
            <w:sz w:val="16"/>
          </w:rPr>
          <w:t>http://www.arnec.net/country/cambodia</w:t>
        </w:r>
      </w:hyperlink>
    </w:p>
    <w:p w14:paraId="6A1FCED3" w14:textId="77777777" w:rsidR="00F50D1F" w:rsidRPr="00F50D1F" w:rsidRDefault="00F50D1F" w:rsidP="00F50D1F">
      <w:pPr>
        <w:pStyle w:val="References"/>
      </w:pPr>
      <w:r w:rsidRPr="00F50D1F">
        <w:t xml:space="preserve">ARNEC. (2018c). </w:t>
      </w:r>
      <w:r w:rsidRPr="00F50D1F">
        <w:rPr>
          <w:i/>
        </w:rPr>
        <w:t>India country profile</w:t>
      </w:r>
      <w:r w:rsidRPr="00F50D1F">
        <w:t xml:space="preserve">. Retrieved from </w:t>
      </w:r>
      <w:hyperlink r:id="rId12" w:history="1">
        <w:r w:rsidRPr="00F50D1F">
          <w:rPr>
            <w:rStyle w:val="Hyperlink"/>
            <w:sz w:val="16"/>
          </w:rPr>
          <w:t>http://arnec.net/country/india-</w:t>
        </w:r>
      </w:hyperlink>
    </w:p>
    <w:p w14:paraId="614E60C6" w14:textId="77777777" w:rsidR="00F50D1F" w:rsidRPr="00F50D1F" w:rsidRDefault="00F50D1F" w:rsidP="00F50D1F">
      <w:pPr>
        <w:pStyle w:val="References"/>
      </w:pPr>
      <w:r w:rsidRPr="00F50D1F">
        <w:t xml:space="preserve">ARNEC. (2018d). </w:t>
      </w:r>
      <w:r w:rsidRPr="00F50D1F">
        <w:rPr>
          <w:i/>
        </w:rPr>
        <w:t>Indonesia country profile</w:t>
      </w:r>
      <w:r w:rsidRPr="00F50D1F">
        <w:t xml:space="preserve">. Retrieved from </w:t>
      </w:r>
      <w:hyperlink r:id="rId13" w:history="1">
        <w:r w:rsidRPr="00F50D1F">
          <w:rPr>
            <w:rStyle w:val="Hyperlink"/>
            <w:sz w:val="16"/>
          </w:rPr>
          <w:t>http://arnec.net/country/indonesia-</w:t>
        </w:r>
      </w:hyperlink>
    </w:p>
    <w:p w14:paraId="16E369E5" w14:textId="2FB39181" w:rsidR="00F50D1F" w:rsidRPr="00F50D1F" w:rsidRDefault="00F50D1F" w:rsidP="00F50D1F">
      <w:pPr>
        <w:pStyle w:val="References"/>
      </w:pPr>
      <w:r w:rsidRPr="00F50D1F">
        <w:t>ARNEC</w:t>
      </w:r>
      <w:r w:rsidR="00ED1001">
        <w:t>.</w:t>
      </w:r>
      <w:r w:rsidRPr="00F50D1F">
        <w:t xml:space="preserve"> (2018e). </w:t>
      </w:r>
      <w:r w:rsidRPr="00F50D1F">
        <w:rPr>
          <w:i/>
        </w:rPr>
        <w:t>Lao PDR country profile</w:t>
      </w:r>
      <w:r w:rsidRPr="00F50D1F">
        <w:t xml:space="preserve">. Retrieved from </w:t>
      </w:r>
      <w:hyperlink r:id="rId14" w:history="1">
        <w:r w:rsidRPr="00F50D1F">
          <w:rPr>
            <w:rStyle w:val="Hyperlink"/>
            <w:sz w:val="16"/>
          </w:rPr>
          <w:t>http://arnec.net/country/lao-pdr</w:t>
        </w:r>
      </w:hyperlink>
    </w:p>
    <w:p w14:paraId="2D622120" w14:textId="16E1CA79" w:rsidR="00F50D1F" w:rsidRPr="00F50D1F" w:rsidRDefault="00F50D1F" w:rsidP="00F50D1F">
      <w:pPr>
        <w:pStyle w:val="References"/>
      </w:pPr>
      <w:r w:rsidRPr="00F50D1F">
        <w:t>ARNEC</w:t>
      </w:r>
      <w:r w:rsidR="00ED1001">
        <w:t>.</w:t>
      </w:r>
      <w:r w:rsidRPr="00F50D1F">
        <w:t xml:space="preserve"> (2018f). </w:t>
      </w:r>
      <w:r w:rsidRPr="00F50D1F">
        <w:rPr>
          <w:i/>
        </w:rPr>
        <w:t>Nepal country profile</w:t>
      </w:r>
      <w:r w:rsidRPr="00F50D1F">
        <w:t>. Retrieved from</w:t>
      </w:r>
      <w:r w:rsidRPr="00F50D1F" w:rsidDel="006C40D9">
        <w:t xml:space="preserve"> </w:t>
      </w:r>
      <w:hyperlink r:id="rId15" w:history="1">
        <w:r w:rsidRPr="00F50D1F">
          <w:rPr>
            <w:rStyle w:val="Hyperlink"/>
            <w:sz w:val="16"/>
          </w:rPr>
          <w:t>http://arnec.net/country/nepal-</w:t>
        </w:r>
      </w:hyperlink>
      <w:r w:rsidRPr="00F50D1F" w:rsidDel="006C40D9">
        <w:t xml:space="preserve"> </w:t>
      </w:r>
    </w:p>
    <w:p w14:paraId="289DA58A" w14:textId="77777777" w:rsidR="00F50D1F" w:rsidRPr="00F50D1F" w:rsidRDefault="00F50D1F" w:rsidP="00F50D1F">
      <w:pPr>
        <w:pStyle w:val="References"/>
      </w:pPr>
      <w:r w:rsidRPr="00F50D1F">
        <w:t xml:space="preserve">ARNEC. (2018g). </w:t>
      </w:r>
      <w:r w:rsidRPr="00F50D1F">
        <w:rPr>
          <w:i/>
        </w:rPr>
        <w:t>Philippines country profile</w:t>
      </w:r>
      <w:r w:rsidRPr="00F50D1F">
        <w:t>. Retrieved from</w:t>
      </w:r>
      <w:r w:rsidRPr="00F50D1F" w:rsidDel="006C40D9">
        <w:t xml:space="preserve"> </w:t>
      </w:r>
      <w:hyperlink r:id="rId16" w:history="1">
        <w:r w:rsidRPr="00F50D1F">
          <w:rPr>
            <w:rStyle w:val="Hyperlink"/>
            <w:sz w:val="16"/>
          </w:rPr>
          <w:t>http://www.arnec.net/country/philippines-</w:t>
        </w:r>
      </w:hyperlink>
    </w:p>
    <w:p w14:paraId="42E45B9A" w14:textId="77777777" w:rsidR="00F50D1F" w:rsidRPr="00F50D1F" w:rsidRDefault="00F50D1F" w:rsidP="00F50D1F">
      <w:pPr>
        <w:pStyle w:val="References"/>
      </w:pPr>
      <w:r w:rsidRPr="00F50D1F">
        <w:t xml:space="preserve">ARNEC. (2018h). </w:t>
      </w:r>
      <w:r w:rsidRPr="00F50D1F">
        <w:rPr>
          <w:i/>
        </w:rPr>
        <w:t>Vietnam country profile</w:t>
      </w:r>
      <w:r w:rsidRPr="00F50D1F">
        <w:t>. Retrieved from</w:t>
      </w:r>
      <w:r w:rsidRPr="00F50D1F" w:rsidDel="006C40D9">
        <w:t xml:space="preserve"> </w:t>
      </w:r>
      <w:hyperlink r:id="rId17" w:history="1">
        <w:r w:rsidRPr="00F50D1F">
          <w:rPr>
            <w:rStyle w:val="Hyperlink"/>
            <w:sz w:val="16"/>
          </w:rPr>
          <w:t>http://arnec.net/country/vietnam-</w:t>
        </w:r>
      </w:hyperlink>
    </w:p>
    <w:p w14:paraId="58D47C79" w14:textId="17A9547F" w:rsidR="00E32E11" w:rsidRDefault="00E32E11" w:rsidP="00E32E11">
      <w:pPr>
        <w:pStyle w:val="References"/>
        <w:rPr>
          <w:szCs w:val="22"/>
        </w:rPr>
      </w:pPr>
      <w:r w:rsidRPr="00735E65">
        <w:rPr>
          <w:szCs w:val="22"/>
        </w:rPr>
        <w:t xml:space="preserve">Britto, R.P., Yoshikawa, H., Van Ravens, J., Ponguta, L. A., Oh, S.S., Dimaya, R., Seder, R.C. (2013). </w:t>
      </w:r>
      <w:r w:rsidRPr="00F50D1F">
        <w:rPr>
          <w:i/>
          <w:szCs w:val="22"/>
        </w:rPr>
        <w:t xml:space="preserve">Understanding </w:t>
      </w:r>
      <w:r w:rsidR="00063CFB" w:rsidRPr="00F50D1F">
        <w:rPr>
          <w:i/>
          <w:szCs w:val="22"/>
        </w:rPr>
        <w:t>governance of early childhood development and education systems and services in low-income countrie</w:t>
      </w:r>
      <w:r w:rsidRPr="00F50D1F">
        <w:rPr>
          <w:i/>
          <w:szCs w:val="22"/>
        </w:rPr>
        <w:t>s</w:t>
      </w:r>
      <w:r w:rsidR="00063CFB">
        <w:rPr>
          <w:szCs w:val="22"/>
        </w:rPr>
        <w:t>.</w:t>
      </w:r>
      <w:r w:rsidR="00063CFB" w:rsidRPr="00735E65">
        <w:rPr>
          <w:szCs w:val="22"/>
        </w:rPr>
        <w:t xml:space="preserve"> </w:t>
      </w:r>
      <w:r w:rsidRPr="00735E65">
        <w:rPr>
          <w:szCs w:val="22"/>
        </w:rPr>
        <w:t>Innocenti</w:t>
      </w:r>
      <w:r w:rsidR="00063CFB">
        <w:rPr>
          <w:szCs w:val="22"/>
        </w:rPr>
        <w:t>/</w:t>
      </w:r>
      <w:r w:rsidR="00063CFB" w:rsidRPr="00735E65">
        <w:rPr>
          <w:szCs w:val="22"/>
        </w:rPr>
        <w:t>UNICEF Office of Research</w:t>
      </w:r>
      <w:r w:rsidRPr="00735E65">
        <w:rPr>
          <w:szCs w:val="22"/>
        </w:rPr>
        <w:t xml:space="preserve"> Working Paper No.2013-07, UNICEF Office of Research, Florence.</w:t>
      </w:r>
    </w:p>
    <w:p w14:paraId="33FE2D07" w14:textId="4B60EDF5" w:rsidR="00E32E11" w:rsidRPr="00F725F7" w:rsidRDefault="00E32E11" w:rsidP="00E32E11">
      <w:pPr>
        <w:pStyle w:val="References"/>
      </w:pPr>
      <w:r w:rsidRPr="003D0E05">
        <w:t xml:space="preserve">Graham, J. (2017). </w:t>
      </w:r>
      <w:r w:rsidRPr="00F50D1F">
        <w:rPr>
          <w:i/>
        </w:rPr>
        <w:t>Pre-</w:t>
      </w:r>
      <w:r w:rsidR="00063CFB" w:rsidRPr="00F50D1F">
        <w:rPr>
          <w:i/>
        </w:rPr>
        <w:t xml:space="preserve">primary </w:t>
      </w:r>
      <w:r w:rsidRPr="00F50D1F">
        <w:rPr>
          <w:i/>
        </w:rPr>
        <w:t>education in Bangladesh: Participation has tripled but there’s a lot more work to do</w:t>
      </w:r>
      <w:r w:rsidRPr="003D0E05">
        <w:t>. Retrieved from: https://apolitical.co/solution_article/unprecedented-rise-pre-primary-education-bangladesh/</w:t>
      </w:r>
      <w:r>
        <w:t>.</w:t>
      </w:r>
    </w:p>
    <w:p w14:paraId="39123D82" w14:textId="6095A2F3" w:rsidR="00E32E11" w:rsidRDefault="00E32E11" w:rsidP="00E32E11">
      <w:pPr>
        <w:pStyle w:val="References"/>
        <w:rPr>
          <w:szCs w:val="22"/>
        </w:rPr>
      </w:pPr>
      <w:r w:rsidRPr="00C6206D">
        <w:rPr>
          <w:szCs w:val="22"/>
        </w:rPr>
        <w:t>International Labo</w:t>
      </w:r>
      <w:r w:rsidR="0062313F">
        <w:rPr>
          <w:szCs w:val="22"/>
        </w:rPr>
        <w:t>u</w:t>
      </w:r>
      <w:r w:rsidRPr="00C6206D">
        <w:rPr>
          <w:szCs w:val="22"/>
        </w:rPr>
        <w:t>r Organization</w:t>
      </w:r>
      <w:r w:rsidR="0062313F">
        <w:rPr>
          <w:szCs w:val="22"/>
        </w:rPr>
        <w:t xml:space="preserve"> (ILO).</w:t>
      </w:r>
      <w:r w:rsidRPr="00C6206D">
        <w:rPr>
          <w:szCs w:val="22"/>
        </w:rPr>
        <w:t xml:space="preserve"> (2014). </w:t>
      </w:r>
      <w:r w:rsidRPr="00F50D1F">
        <w:rPr>
          <w:i/>
          <w:szCs w:val="22"/>
        </w:rPr>
        <w:t>ILO policy guidelines on the promotion of decent work for early childhood education personnel.</w:t>
      </w:r>
      <w:r w:rsidRPr="00C6206D">
        <w:rPr>
          <w:szCs w:val="22"/>
        </w:rPr>
        <w:t xml:space="preserve"> Geneva: </w:t>
      </w:r>
      <w:r w:rsidR="0062313F">
        <w:rPr>
          <w:szCs w:val="22"/>
        </w:rPr>
        <w:t>ILO</w:t>
      </w:r>
      <w:r w:rsidRPr="00C6206D">
        <w:rPr>
          <w:szCs w:val="22"/>
        </w:rPr>
        <w:t>.</w:t>
      </w:r>
    </w:p>
    <w:p w14:paraId="0BCE8783" w14:textId="370C7A18" w:rsidR="00E32E11" w:rsidRPr="00E32E11" w:rsidRDefault="00F50D1F" w:rsidP="00E32E11">
      <w:pPr>
        <w:pStyle w:val="References"/>
      </w:pPr>
      <w:r w:rsidRPr="006C3846">
        <w:t xml:space="preserve">Jung, H. &amp; Hasan, A. (2014). </w:t>
      </w:r>
      <w:r w:rsidRPr="006C3846">
        <w:rPr>
          <w:i/>
        </w:rPr>
        <w:t>The impact of early childhood education on early achievement gaps: Evidence from the Indonesia Early Childhood Education and Development (ECED) Project</w:t>
      </w:r>
      <w:r w:rsidRPr="006C3846">
        <w:t>. Washington, DC: The World Bank Policy Working Paper</w:t>
      </w:r>
      <w:proofErr w:type="spellStart"/>
      <w:r w:rsidR="00E32E11" w:rsidRPr="00F50D1F">
        <w:rPr>
          <w:lang w:val="fr-FR"/>
        </w:rPr>
        <w:t>Loizillon</w:t>
      </w:r>
      <w:proofErr w:type="spellEnd"/>
      <w:r w:rsidR="00E32E11" w:rsidRPr="00F50D1F">
        <w:rPr>
          <w:lang w:val="fr-FR"/>
        </w:rPr>
        <w:t>, A.</w:t>
      </w:r>
      <w:r w:rsidR="0062313F" w:rsidRPr="00F50D1F">
        <w:rPr>
          <w:lang w:val="fr-FR"/>
        </w:rPr>
        <w:t>,</w:t>
      </w:r>
      <w:r w:rsidR="00E32E11" w:rsidRPr="00F50D1F">
        <w:rPr>
          <w:lang w:val="fr-FR"/>
        </w:rPr>
        <w:t xml:space="preserve"> &amp; Leclercq, F. (2016). </w:t>
      </w:r>
      <w:r w:rsidR="00E32E11" w:rsidRPr="00F50D1F">
        <w:rPr>
          <w:i/>
        </w:rPr>
        <w:t xml:space="preserve">New </w:t>
      </w:r>
      <w:r w:rsidR="00063CFB" w:rsidRPr="00F50D1F">
        <w:rPr>
          <w:i/>
        </w:rPr>
        <w:t>horizons</w:t>
      </w:r>
      <w:r w:rsidR="00E32E11" w:rsidRPr="00F50D1F">
        <w:rPr>
          <w:i/>
        </w:rPr>
        <w:t>: A review of early childhood care and education in Asia and the Pacific</w:t>
      </w:r>
      <w:r w:rsidR="00E32E11" w:rsidRPr="00E32E11">
        <w:t>. Paris &amp; Bangkok: UNESCO.</w:t>
      </w:r>
    </w:p>
    <w:p w14:paraId="0D31538E" w14:textId="70B1903D" w:rsidR="00E32E11" w:rsidRPr="00E32E11" w:rsidRDefault="00063CFB" w:rsidP="00E32E11">
      <w:pPr>
        <w:pStyle w:val="References"/>
      </w:pPr>
      <w:r>
        <w:t>Systems Approach for Better Education Results (</w:t>
      </w:r>
      <w:r w:rsidR="00E32E11" w:rsidRPr="00E32E11">
        <w:t>SABER</w:t>
      </w:r>
      <w:r>
        <w:t>)</w:t>
      </w:r>
      <w:r w:rsidR="0062313F">
        <w:t>.</w:t>
      </w:r>
      <w:r w:rsidR="00E32E11" w:rsidRPr="00E32E11">
        <w:t xml:space="preserve"> (2013a). </w:t>
      </w:r>
      <w:r w:rsidRPr="00F50D1F">
        <w:rPr>
          <w:i/>
        </w:rPr>
        <w:t>Kyrgyz republic early childhood development</w:t>
      </w:r>
      <w:r w:rsidRPr="00E32E11">
        <w:t xml:space="preserve"> </w:t>
      </w:r>
      <w:r w:rsidR="00E32E11" w:rsidRPr="00E32E11">
        <w:t>(SABER Country Report). Washington, DC: The World Bank.</w:t>
      </w:r>
    </w:p>
    <w:p w14:paraId="385F3372" w14:textId="3A807044" w:rsidR="00E32E11" w:rsidRPr="00E32E11" w:rsidRDefault="00E32E11" w:rsidP="00E32E11">
      <w:pPr>
        <w:pStyle w:val="References"/>
      </w:pPr>
      <w:r w:rsidRPr="00E32E11">
        <w:t>SABER</w:t>
      </w:r>
      <w:r w:rsidR="0062313F">
        <w:t>.</w:t>
      </w:r>
      <w:r w:rsidRPr="00E32E11">
        <w:t xml:space="preserve"> (2013b). </w:t>
      </w:r>
      <w:r w:rsidR="00063CFB" w:rsidRPr="00F50D1F">
        <w:rPr>
          <w:i/>
        </w:rPr>
        <w:t>Nepal early childhood development</w:t>
      </w:r>
      <w:r w:rsidR="00063CFB" w:rsidRPr="00E32E11">
        <w:t xml:space="preserve"> </w:t>
      </w:r>
      <w:r w:rsidRPr="00E32E11">
        <w:t>(SABER Country Report). Washington, DC: The World Bank.</w:t>
      </w:r>
    </w:p>
    <w:p w14:paraId="3745737B" w14:textId="2CE6764D" w:rsidR="00E32E11" w:rsidRPr="00E32E11" w:rsidRDefault="00E32E11" w:rsidP="00E32E11">
      <w:pPr>
        <w:pStyle w:val="References"/>
      </w:pPr>
      <w:r w:rsidRPr="00E32E11">
        <w:t>SABER</w:t>
      </w:r>
      <w:r w:rsidR="0062313F">
        <w:t>.</w:t>
      </w:r>
      <w:r w:rsidRPr="00E32E11">
        <w:t xml:space="preserve"> (2013c). </w:t>
      </w:r>
      <w:r w:rsidR="00063CFB" w:rsidRPr="00F50D1F">
        <w:rPr>
          <w:i/>
        </w:rPr>
        <w:t>Tajikistan early childhood development</w:t>
      </w:r>
      <w:r w:rsidR="00063CFB" w:rsidRPr="00E32E11">
        <w:t xml:space="preserve"> </w:t>
      </w:r>
      <w:r w:rsidRPr="00E32E11">
        <w:t>(SABER Country Report). Washington, DC: The World Bank.</w:t>
      </w:r>
    </w:p>
    <w:p w14:paraId="50AC06D1" w14:textId="74B4C694" w:rsidR="004E2F12" w:rsidRPr="003D0E05" w:rsidRDefault="004E2F12" w:rsidP="004E2F12">
      <w:pPr>
        <w:pStyle w:val="References"/>
      </w:pPr>
      <w:r w:rsidRPr="003D0E05">
        <w:t>Tan</w:t>
      </w:r>
      <w:r>
        <w:t>, R.G.H.</w:t>
      </w:r>
      <w:r w:rsidRPr="003D0E05">
        <w:t xml:space="preserve"> (2016). </w:t>
      </w:r>
      <w:r w:rsidRPr="00F50D1F">
        <w:rPr>
          <w:i/>
        </w:rPr>
        <w:t xml:space="preserve">Early </w:t>
      </w:r>
      <w:r w:rsidR="00CC7640" w:rsidRPr="00F50D1F">
        <w:rPr>
          <w:i/>
        </w:rPr>
        <w:t xml:space="preserve">childhood </w:t>
      </w:r>
      <w:r w:rsidRPr="00F50D1F">
        <w:rPr>
          <w:i/>
        </w:rPr>
        <w:t>care and education in five Asian countries</w:t>
      </w:r>
      <w:r w:rsidRPr="003D0E05">
        <w:t>. Singapore: The HEAD Foundation</w:t>
      </w:r>
      <w:r>
        <w:t>.</w:t>
      </w:r>
    </w:p>
    <w:p w14:paraId="3876BB5E" w14:textId="56331021" w:rsidR="00E32E11" w:rsidRPr="00840603" w:rsidRDefault="00E32E11" w:rsidP="00E32E11">
      <w:pPr>
        <w:pStyle w:val="References"/>
      </w:pPr>
      <w:r w:rsidRPr="00840603">
        <w:t>UNESCO</w:t>
      </w:r>
      <w:r w:rsidR="0062313F">
        <w:t>.</w:t>
      </w:r>
      <w:r w:rsidRPr="00840603">
        <w:t xml:space="preserve"> (2016). </w:t>
      </w:r>
      <w:r w:rsidRPr="00F50D1F">
        <w:rPr>
          <w:i/>
        </w:rPr>
        <w:t xml:space="preserve">Financing for </w:t>
      </w:r>
      <w:r w:rsidR="00CC7640" w:rsidRPr="00F50D1F">
        <w:rPr>
          <w:i/>
        </w:rPr>
        <w:t xml:space="preserve">early childhood care and education </w:t>
      </w:r>
      <w:r w:rsidRPr="00F50D1F">
        <w:rPr>
          <w:i/>
        </w:rPr>
        <w:t>(ECCE): Investing in the foundation for lifelong learning and sustainable development</w:t>
      </w:r>
      <w:r w:rsidRPr="00840603">
        <w:t>. Bangkok: UNESCO Bangkok.</w:t>
      </w:r>
    </w:p>
    <w:p w14:paraId="3DFEE01D" w14:textId="77777777" w:rsidR="00C47FE0" w:rsidRDefault="00C47FE0" w:rsidP="00AB7D16">
      <w:pPr>
        <w:spacing w:after="120" w:line="240" w:lineRule="atLeast"/>
      </w:pPr>
    </w:p>
    <w:p w14:paraId="75E87FA4" w14:textId="77777777" w:rsidR="00AB7D16" w:rsidRDefault="00AB7D16" w:rsidP="00C47FE0">
      <w:pPr>
        <w:sectPr w:rsidR="00AB7D16" w:rsidSect="00AB7D16">
          <w:footerReference w:type="even" r:id="rId18"/>
          <w:footerReference w:type="default" r:id="rId19"/>
          <w:footerReference w:type="first" r:id="rId20"/>
          <w:pgSz w:w="12240" w:h="15840"/>
          <w:pgMar w:top="1440" w:right="1440" w:bottom="1440" w:left="1440" w:header="720" w:footer="720" w:gutter="0"/>
          <w:cols w:space="720"/>
          <w:titlePg/>
        </w:sectPr>
      </w:pPr>
    </w:p>
    <w:p w14:paraId="73759EE0" w14:textId="0CDD2A76" w:rsidR="00C47FE0" w:rsidRDefault="005F1B34" w:rsidP="00D30DD5">
      <w:pPr>
        <w:pStyle w:val="Heading2"/>
        <w:spacing w:before="160"/>
        <w:jc w:val="right"/>
      </w:pPr>
      <w:r>
        <w:rPr>
          <w:rFonts w:ascii="Arial Bold" w:hAnsi="Arial Bold" w:cs="Times New Roman"/>
          <w:caps w:val="0"/>
          <w:color w:val="0067B9"/>
        </w:rPr>
        <w:t>For further information, please contact</w:t>
      </w:r>
      <w:r w:rsidR="00ED1001">
        <w:rPr>
          <w:rFonts w:ascii="Arial Bold" w:hAnsi="Arial Bold" w:cs="Times New Roman"/>
          <w:caps w:val="0"/>
          <w:color w:val="0067B9"/>
        </w:rPr>
        <w:t>:</w:t>
      </w:r>
    </w:p>
    <w:p w14:paraId="025CF196" w14:textId="77777777" w:rsidR="00A0430E" w:rsidRPr="00E74C27" w:rsidRDefault="00AB7D16" w:rsidP="00D30DD5">
      <w:pPr>
        <w:pStyle w:val="Heading2"/>
        <w:spacing w:before="80"/>
        <w:jc w:val="right"/>
        <w:rPr>
          <w:sz w:val="18"/>
          <w:szCs w:val="18"/>
        </w:rPr>
      </w:pPr>
      <w:r>
        <w:rPr>
          <w:b w:val="0"/>
          <w:bCs w:val="0"/>
          <w:caps w:val="0"/>
          <w:color w:val="7F7F7F" w:themeColor="text1" w:themeTint="80"/>
          <w:sz w:val="18"/>
          <w:szCs w:val="18"/>
        </w:rPr>
        <w:t xml:space="preserve">Mitch Kirby, </w:t>
      </w:r>
      <w:r w:rsidRPr="009D1648">
        <w:rPr>
          <w:b w:val="0"/>
          <w:bCs w:val="0"/>
          <w:caps w:val="0"/>
          <w:color w:val="7F7F7F" w:themeColor="text1" w:themeTint="80"/>
          <w:sz w:val="18"/>
          <w:szCs w:val="18"/>
        </w:rPr>
        <w:t>USAID Asia Bureau</w:t>
      </w:r>
      <w:r>
        <w:rPr>
          <w:b w:val="0"/>
          <w:bCs w:val="0"/>
          <w:caps w:val="0"/>
          <w:color w:val="7F7F7F" w:themeColor="text1" w:themeTint="80"/>
          <w:sz w:val="18"/>
          <w:szCs w:val="18"/>
        </w:rPr>
        <w:t xml:space="preserve">, </w:t>
      </w:r>
      <w:r w:rsidRPr="009D1648">
        <w:rPr>
          <w:b w:val="0"/>
          <w:bCs w:val="0"/>
          <w:caps w:val="0"/>
          <w:color w:val="7F7F7F" w:themeColor="text1" w:themeTint="80"/>
          <w:sz w:val="18"/>
          <w:szCs w:val="18"/>
        </w:rPr>
        <w:t>Senior Education Advisor</w:t>
      </w:r>
      <w:r>
        <w:rPr>
          <w:b w:val="0"/>
          <w:bCs w:val="0"/>
          <w:caps w:val="0"/>
          <w:color w:val="7F7F7F" w:themeColor="text1" w:themeTint="80"/>
          <w:sz w:val="18"/>
          <w:szCs w:val="18"/>
        </w:rPr>
        <w:t xml:space="preserve">, </w:t>
      </w:r>
      <w:r w:rsidRPr="00E74C27">
        <w:rPr>
          <w:b w:val="0"/>
          <w:bCs w:val="0"/>
          <w:caps w:val="0"/>
          <w:color w:val="7F7F7F" w:themeColor="text1" w:themeTint="80"/>
          <w:sz w:val="18"/>
          <w:szCs w:val="18"/>
        </w:rPr>
        <w:t>mkirby@usaid.gov</w:t>
      </w:r>
    </w:p>
    <w:sectPr w:rsidR="00A0430E" w:rsidRPr="00E74C27" w:rsidSect="00AB7D16">
      <w:footerReference w:type="even" r:id="rId21"/>
      <w:footerReference w:type="default" r:id="rId22"/>
      <w:footerReference w:type="first" r:id="rId23"/>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4E49" w14:textId="77777777" w:rsidR="00780F79" w:rsidRDefault="00780F79" w:rsidP="007D52EF">
      <w:r>
        <w:separator/>
      </w:r>
    </w:p>
    <w:p w14:paraId="4DEA1737" w14:textId="77777777" w:rsidR="00780F79" w:rsidRDefault="00780F79" w:rsidP="007D52EF"/>
    <w:p w14:paraId="28898AE0" w14:textId="77777777" w:rsidR="00780F79" w:rsidRDefault="00780F79" w:rsidP="007D52EF"/>
    <w:p w14:paraId="3FA16A73" w14:textId="77777777" w:rsidR="00780F79" w:rsidRDefault="00780F79"/>
  </w:endnote>
  <w:endnote w:type="continuationSeparator" w:id="0">
    <w:p w14:paraId="20571ACB" w14:textId="77777777" w:rsidR="00780F79" w:rsidRDefault="00780F79" w:rsidP="007D52EF">
      <w:r>
        <w:continuationSeparator/>
      </w:r>
    </w:p>
    <w:p w14:paraId="48AB9797" w14:textId="77777777" w:rsidR="00780F79" w:rsidRDefault="00780F79" w:rsidP="007D52EF"/>
    <w:p w14:paraId="79E35E62" w14:textId="77777777" w:rsidR="00780F79" w:rsidRDefault="00780F79" w:rsidP="007D52EF"/>
    <w:p w14:paraId="22A8D056" w14:textId="77777777" w:rsidR="00780F79" w:rsidRDefault="00780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TIXVariants-Bold">
    <w:altName w:val="Times New Roman"/>
    <w:panose1 w:val="00000000000000000000"/>
    <w:charset w:val="4D"/>
    <w:family w:val="auto"/>
    <w:notTrueType/>
    <w:pitch w:val="variable"/>
    <w:sig w:usb0="8000000B" w:usb1="00000068" w:usb2="00000000" w:usb3="00000000" w:csb0="8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Lato-Light">
    <w:altName w:val="Segoe UI"/>
    <w:panose1 w:val="00000000000000000000"/>
    <w:charset w:val="00"/>
    <w:family w:val="swiss"/>
    <w:notTrueType/>
    <w:pitch w:val="default"/>
    <w:sig w:usb0="00000003" w:usb1="00000000" w:usb2="00000000" w:usb3="00000000" w:csb0="00000001"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D47D" w14:textId="77777777" w:rsidR="00564E0B" w:rsidRDefault="00564E0B"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7F943B" w14:textId="77777777" w:rsidR="00564E0B" w:rsidRDefault="00564E0B"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6973" w14:textId="77777777" w:rsidR="00564E0B" w:rsidRPr="00585B47" w:rsidRDefault="00564E0B"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C24AEF">
      <w:rPr>
        <w:rStyle w:val="PageNumber"/>
        <w:b/>
        <w:noProof/>
      </w:rPr>
      <w:t>2</w:t>
    </w:r>
    <w:r w:rsidRPr="00585B47">
      <w:rPr>
        <w:rStyle w:val="PageNumber"/>
        <w:b/>
      </w:rPr>
      <w:fldChar w:fldCharType="end"/>
    </w:r>
  </w:p>
  <w:p w14:paraId="7A2C3C43" w14:textId="66311FBD" w:rsidR="00564E0B" w:rsidRPr="00585B47" w:rsidRDefault="00C17B4C" w:rsidP="00332D80">
    <w:pPr>
      <w:pStyle w:val="Footer"/>
      <w:tabs>
        <w:tab w:val="clear" w:pos="4320"/>
        <w:tab w:val="clear" w:pos="8640"/>
        <w:tab w:val="right" w:pos="8910"/>
      </w:tabs>
      <w:ind w:right="360"/>
      <w:rPr>
        <w:b/>
        <w:bCs/>
      </w:rPr>
    </w:pPr>
    <w:r>
      <w:t>All Children Reading – Asia</w:t>
    </w:r>
    <w:r>
      <w:tab/>
      <w:t xml:space="preserve">ECE – </w:t>
    </w:r>
    <w:r w:rsidR="0062313F">
      <w:t>sustainability</w:t>
    </w:r>
    <w:r w:rsidR="00564E0B" w:rsidRPr="00F546D8">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5286" w14:textId="77777777" w:rsidR="00564E0B" w:rsidRPr="00392DE6" w:rsidRDefault="00564E0B" w:rsidP="00C47FE0">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sidR="00C24AEF">
      <w:rPr>
        <w:rStyle w:val="PageNumber"/>
        <w:b/>
        <w:noProof/>
      </w:rPr>
      <w:t>1</w:t>
    </w:r>
    <w:r w:rsidRPr="00392DE6">
      <w:rPr>
        <w:rStyle w:val="PageNumber"/>
        <w:b/>
      </w:rPr>
      <w:fldChar w:fldCharType="end"/>
    </w:r>
  </w:p>
  <w:p w14:paraId="479EB526" w14:textId="059B714D" w:rsidR="00564E0B" w:rsidRPr="00392DE6" w:rsidRDefault="00C17B4C" w:rsidP="00C17B4C">
    <w:pPr>
      <w:pStyle w:val="Footer"/>
      <w:tabs>
        <w:tab w:val="clear" w:pos="4320"/>
        <w:tab w:val="clear" w:pos="8640"/>
        <w:tab w:val="right" w:pos="9000"/>
      </w:tabs>
      <w:ind w:right="360"/>
      <w:rPr>
        <w:b/>
        <w:bCs/>
      </w:rPr>
    </w:pPr>
    <w:r>
      <w:t>All Children Reading – Asia</w:t>
    </w:r>
    <w:r>
      <w:tab/>
      <w:t xml:space="preserve">ECE – </w:t>
    </w:r>
    <w:r w:rsidR="0062313F">
      <w:t>sustainability</w:t>
    </w:r>
    <w:r>
      <w:t xml:space="preserve">   </w:t>
    </w:r>
    <w:r w:rsidRPr="00F546D8">
      <w:t>|</w:t>
    </w:r>
    <w:r w:rsidR="00564E0B" w:rsidRPr="00F546D8">
      <w:t xml:space="preserve">   </w:t>
    </w:r>
    <w:r>
      <w:t xml:space="preserve">  </w:t>
    </w:r>
    <w:r w:rsidR="00564E0B" w:rsidRPr="00F546D8">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0139" w14:textId="77777777" w:rsidR="00564E0B" w:rsidRDefault="00564E0B"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3A512" w14:textId="77777777" w:rsidR="00564E0B" w:rsidRDefault="00564E0B" w:rsidP="00585B47">
    <w:pPr>
      <w:pStyle w:val="Footer"/>
      <w:ind w:right="360"/>
    </w:pPr>
  </w:p>
  <w:p w14:paraId="16009AAE" w14:textId="77777777" w:rsidR="004D7401" w:rsidRDefault="004D740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1606" w14:textId="77777777" w:rsidR="00564E0B" w:rsidRPr="00585B47" w:rsidRDefault="00564E0B"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Pr>
        <w:rStyle w:val="PageNumber"/>
        <w:b/>
        <w:noProof/>
      </w:rPr>
      <w:t>3</w:t>
    </w:r>
    <w:r w:rsidRPr="00585B47">
      <w:rPr>
        <w:rStyle w:val="PageNumber"/>
        <w:b/>
      </w:rPr>
      <w:fldChar w:fldCharType="end"/>
    </w:r>
  </w:p>
  <w:p w14:paraId="6F31C98E" w14:textId="77777777" w:rsidR="00564E0B" w:rsidRPr="00585B47" w:rsidRDefault="00564E0B" w:rsidP="00157443">
    <w:pPr>
      <w:pStyle w:val="Footer"/>
      <w:tabs>
        <w:tab w:val="clear" w:pos="4320"/>
        <w:tab w:val="clear" w:pos="8640"/>
        <w:tab w:val="center" w:pos="4680"/>
        <w:tab w:val="right" w:pos="9360"/>
      </w:tabs>
      <w:ind w:right="360"/>
      <w:rPr>
        <w:b/>
        <w:bCs/>
      </w:rPr>
    </w:pPr>
    <w:r w:rsidRPr="006770C3">
      <w:t>usaid.gov</w:t>
    </w:r>
    <w:r>
      <w:tab/>
    </w:r>
    <w:r w:rsidRPr="00F546D8">
      <w:tab/>
      <w:t xml:space="preserve">USAID Fact Sheet title Here      |      </w:t>
    </w:r>
  </w:p>
  <w:p w14:paraId="640E4392" w14:textId="77777777" w:rsidR="004D7401" w:rsidRDefault="004D740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18ED" w14:textId="77777777" w:rsidR="00564E0B" w:rsidRPr="00392DE6" w:rsidRDefault="00564E0B"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Pr>
        <w:rStyle w:val="PageNumber"/>
        <w:b/>
        <w:noProof/>
      </w:rPr>
      <w:t>3</w:t>
    </w:r>
    <w:r w:rsidRPr="00392DE6">
      <w:rPr>
        <w:rStyle w:val="PageNumber"/>
        <w:b/>
      </w:rPr>
      <w:fldChar w:fldCharType="end"/>
    </w:r>
  </w:p>
  <w:p w14:paraId="2346029B" w14:textId="77777777" w:rsidR="00564E0B" w:rsidRPr="00392DE6" w:rsidRDefault="00564E0B" w:rsidP="00157443">
    <w:pPr>
      <w:pStyle w:val="Footer"/>
      <w:tabs>
        <w:tab w:val="clear" w:pos="4320"/>
        <w:tab w:val="clear" w:pos="8640"/>
        <w:tab w:val="center" w:pos="4680"/>
        <w:tab w:val="right" w:pos="9360"/>
      </w:tabs>
      <w:ind w:right="360"/>
      <w:rPr>
        <w:b/>
        <w:bCs/>
      </w:rPr>
    </w:pPr>
    <w:r w:rsidRPr="006770C3">
      <w:t>usaid.gov</w:t>
    </w:r>
    <w:r>
      <w:tab/>
    </w:r>
    <w:r w:rsidRPr="00F546D8">
      <w:tab/>
      <w:t xml:space="preserve">USAID Fact Sheet title Here      |      </w:t>
    </w:r>
  </w:p>
  <w:p w14:paraId="4FDECB3A" w14:textId="77777777" w:rsidR="004D7401" w:rsidRDefault="004D74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239F" w14:textId="77777777" w:rsidR="00780F79" w:rsidRDefault="00780F79" w:rsidP="007D52EF">
      <w:r>
        <w:separator/>
      </w:r>
    </w:p>
    <w:p w14:paraId="704B5C35" w14:textId="77777777" w:rsidR="00780F79" w:rsidRDefault="00780F79" w:rsidP="007D52EF"/>
    <w:p w14:paraId="161D481B" w14:textId="77777777" w:rsidR="00780F79" w:rsidRDefault="00780F79" w:rsidP="007D52EF"/>
    <w:p w14:paraId="7C63E82E" w14:textId="77777777" w:rsidR="00780F79" w:rsidRDefault="00780F79"/>
  </w:footnote>
  <w:footnote w:type="continuationSeparator" w:id="0">
    <w:p w14:paraId="69CA0107" w14:textId="77777777" w:rsidR="00780F79" w:rsidRDefault="00780F79" w:rsidP="007D52EF">
      <w:r>
        <w:continuationSeparator/>
      </w:r>
    </w:p>
    <w:p w14:paraId="05964A34" w14:textId="77777777" w:rsidR="00780F79" w:rsidRDefault="00780F79" w:rsidP="007D52EF"/>
    <w:p w14:paraId="71A96C81" w14:textId="77777777" w:rsidR="00780F79" w:rsidRDefault="00780F79" w:rsidP="007D52EF"/>
    <w:p w14:paraId="0BB472DF" w14:textId="77777777" w:rsidR="00780F79" w:rsidRDefault="00780F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52FEC"/>
    <w:multiLevelType w:val="multilevel"/>
    <w:tmpl w:val="5556453C"/>
    <w:lvl w:ilvl="0">
      <w:start w:val="1"/>
      <w:numFmt w:val="bullet"/>
      <w:lvlText w:val=""/>
      <w:lvlJc w:val="left"/>
      <w:pPr>
        <w:ind w:left="180" w:hanging="180"/>
      </w:pPr>
      <w:rPr>
        <w:rFonts w:ascii="Symbol" w:hAnsi="Symbol" w:hint="default"/>
        <w:b w:val="0"/>
        <w:i w:val="0"/>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1891772"/>
    <w:multiLevelType w:val="hybridMultilevel"/>
    <w:tmpl w:val="6E5E6E74"/>
    <w:lvl w:ilvl="0" w:tplc="D41CB536">
      <w:start w:val="1"/>
      <w:numFmt w:val="bullet"/>
      <w:lvlText w:val=""/>
      <w:lvlJc w:val="left"/>
      <w:pPr>
        <w:ind w:left="360" w:hanging="360"/>
      </w:pPr>
      <w:rPr>
        <w:rFonts w:ascii="Symbol" w:hAnsi="Symbol" w:hint="default"/>
        <w:b w:val="0"/>
        <w:i/>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26D97"/>
    <w:multiLevelType w:val="hybridMultilevel"/>
    <w:tmpl w:val="274CF248"/>
    <w:lvl w:ilvl="0" w:tplc="8834D3E2">
      <w:start w:val="1"/>
      <w:numFmt w:val="bullet"/>
      <w:lvlText w:val=""/>
      <w:lvlJc w:val="left"/>
      <w:pPr>
        <w:ind w:left="180" w:hanging="180"/>
      </w:pPr>
      <w:rPr>
        <w:rFonts w:ascii="Symbol" w:hAnsi="Symbol" w:hint="default"/>
        <w:b w:val="0"/>
        <w:i/>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987068"/>
    <w:multiLevelType w:val="hybridMultilevel"/>
    <w:tmpl w:val="328A64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45661"/>
    <w:multiLevelType w:val="hybridMultilevel"/>
    <w:tmpl w:val="AB789908"/>
    <w:lvl w:ilvl="0" w:tplc="5F603ABC">
      <w:start w:val="1"/>
      <w:numFmt w:val="bullet"/>
      <w:pStyle w:val="Tabelcellbullet"/>
      <w:lvlText w:val=""/>
      <w:lvlJc w:val="left"/>
      <w:pPr>
        <w:ind w:left="180" w:hanging="180"/>
      </w:pPr>
      <w:rPr>
        <w:rFonts w:ascii="Symbol" w:hAnsi="Symbol" w:hint="default"/>
        <w:b w:val="0"/>
        <w:i w:val="0"/>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82CC0"/>
    <w:multiLevelType w:val="hybridMultilevel"/>
    <w:tmpl w:val="3740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5B1C80"/>
    <w:multiLevelType w:val="multilevel"/>
    <w:tmpl w:val="3F843580"/>
    <w:lvl w:ilvl="0">
      <w:start w:val="1"/>
      <w:numFmt w:val="bullet"/>
      <w:lvlText w:val=""/>
      <w:lvlJc w:val="left"/>
      <w:pPr>
        <w:ind w:left="180" w:hanging="180"/>
      </w:pPr>
      <w:rPr>
        <w:rFonts w:ascii="Symbol" w:hAnsi="Symbol" w:hint="default"/>
        <w:b w:val="0"/>
        <w:i/>
        <w:sz w:val="1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0A2CD0"/>
    <w:multiLevelType w:val="hybridMultilevel"/>
    <w:tmpl w:val="A2A65D74"/>
    <w:lvl w:ilvl="0" w:tplc="A57AECDC">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D157D"/>
    <w:multiLevelType w:val="hybridMultilevel"/>
    <w:tmpl w:val="2E3A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550C2"/>
    <w:multiLevelType w:val="hybridMultilevel"/>
    <w:tmpl w:val="EDB4A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7C7445"/>
    <w:multiLevelType w:val="hybridMultilevel"/>
    <w:tmpl w:val="98F6C472"/>
    <w:lvl w:ilvl="0" w:tplc="E52C5420">
      <w:start w:val="1"/>
      <w:numFmt w:val="bullet"/>
      <w:lvlText w:val=""/>
      <w:lvlJc w:val="left"/>
      <w:pPr>
        <w:ind w:left="180" w:hanging="180"/>
      </w:pPr>
      <w:rPr>
        <w:rFonts w:ascii="Symbol" w:hAnsi="Symbol" w:hint="default"/>
        <w:b w:val="0"/>
        <w:i/>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611141"/>
    <w:multiLevelType w:val="hybridMultilevel"/>
    <w:tmpl w:val="478E91F2"/>
    <w:lvl w:ilvl="0" w:tplc="C3D8E190">
      <w:start w:val="1"/>
      <w:numFmt w:val="bullet"/>
      <w:lvlText w:val=""/>
      <w:lvlJc w:val="left"/>
      <w:pPr>
        <w:ind w:left="180" w:hanging="180"/>
      </w:pPr>
      <w:rPr>
        <w:rFonts w:ascii="Symbol" w:hAnsi="Symbol" w:hint="default"/>
        <w:b w:val="0"/>
        <w:i/>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6"/>
  </w:num>
  <w:num w:numId="16">
    <w:abstractNumId w:val="17"/>
  </w:num>
  <w:num w:numId="17">
    <w:abstractNumId w:val="21"/>
  </w:num>
  <w:num w:numId="18">
    <w:abstractNumId w:val="20"/>
  </w:num>
  <w:num w:numId="19">
    <w:abstractNumId w:val="21"/>
  </w:num>
  <w:num w:numId="20">
    <w:abstractNumId w:val="20"/>
  </w:num>
  <w:num w:numId="21">
    <w:abstractNumId w:val="17"/>
  </w:num>
  <w:num w:numId="22">
    <w:abstractNumId w:val="27"/>
  </w:num>
  <w:num w:numId="23">
    <w:abstractNumId w:val="28"/>
  </w:num>
  <w:num w:numId="24">
    <w:abstractNumId w:val="12"/>
  </w:num>
  <w:num w:numId="25">
    <w:abstractNumId w:val="29"/>
  </w:num>
  <w:num w:numId="26">
    <w:abstractNumId w:val="15"/>
  </w:num>
  <w:num w:numId="27">
    <w:abstractNumId w:val="22"/>
  </w:num>
  <w:num w:numId="28">
    <w:abstractNumId w:val="24"/>
  </w:num>
  <w:num w:numId="29">
    <w:abstractNumId w:val="11"/>
  </w:num>
  <w:num w:numId="30">
    <w:abstractNumId w:val="25"/>
  </w:num>
  <w:num w:numId="31">
    <w:abstractNumId w:val="19"/>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3MDI2sjC2MDQxMDRS0lEKTi0uzszPAykwrAUAaUwzSywAAAA="/>
  </w:docVars>
  <w:rsids>
    <w:rsidRoot w:val="00592E35"/>
    <w:rsid w:val="000121B3"/>
    <w:rsid w:val="000147C4"/>
    <w:rsid w:val="00022808"/>
    <w:rsid w:val="000253AA"/>
    <w:rsid w:val="00031972"/>
    <w:rsid w:val="00046DC4"/>
    <w:rsid w:val="000504C6"/>
    <w:rsid w:val="00063CFB"/>
    <w:rsid w:val="0006439D"/>
    <w:rsid w:val="00072E28"/>
    <w:rsid w:val="0008181A"/>
    <w:rsid w:val="0008229E"/>
    <w:rsid w:val="0008753D"/>
    <w:rsid w:val="000974B3"/>
    <w:rsid w:val="000B6A02"/>
    <w:rsid w:val="001018F3"/>
    <w:rsid w:val="00103FD7"/>
    <w:rsid w:val="0011553E"/>
    <w:rsid w:val="001160A9"/>
    <w:rsid w:val="00132027"/>
    <w:rsid w:val="00143248"/>
    <w:rsid w:val="00147E45"/>
    <w:rsid w:val="00157443"/>
    <w:rsid w:val="00163257"/>
    <w:rsid w:val="001657C4"/>
    <w:rsid w:val="001704C3"/>
    <w:rsid w:val="0017385B"/>
    <w:rsid w:val="00177F80"/>
    <w:rsid w:val="00187D08"/>
    <w:rsid w:val="001A49DF"/>
    <w:rsid w:val="001B5625"/>
    <w:rsid w:val="001B5B22"/>
    <w:rsid w:val="001C05D8"/>
    <w:rsid w:val="001F416D"/>
    <w:rsid w:val="001F5967"/>
    <w:rsid w:val="00200578"/>
    <w:rsid w:val="00214CE1"/>
    <w:rsid w:val="00230744"/>
    <w:rsid w:val="00244A47"/>
    <w:rsid w:val="002533AE"/>
    <w:rsid w:val="0026454D"/>
    <w:rsid w:val="00267BF9"/>
    <w:rsid w:val="002729ED"/>
    <w:rsid w:val="002745D3"/>
    <w:rsid w:val="002817FD"/>
    <w:rsid w:val="00282B1E"/>
    <w:rsid w:val="0028350E"/>
    <w:rsid w:val="00295257"/>
    <w:rsid w:val="002A014C"/>
    <w:rsid w:val="002B1B8B"/>
    <w:rsid w:val="002B2502"/>
    <w:rsid w:val="002C24B2"/>
    <w:rsid w:val="002E0292"/>
    <w:rsid w:val="003013B7"/>
    <w:rsid w:val="0031195C"/>
    <w:rsid w:val="00312D7C"/>
    <w:rsid w:val="003169FD"/>
    <w:rsid w:val="003263D2"/>
    <w:rsid w:val="00326645"/>
    <w:rsid w:val="00327C17"/>
    <w:rsid w:val="00332D80"/>
    <w:rsid w:val="00333E6D"/>
    <w:rsid w:val="003413B7"/>
    <w:rsid w:val="0034548E"/>
    <w:rsid w:val="00353651"/>
    <w:rsid w:val="00354983"/>
    <w:rsid w:val="00355595"/>
    <w:rsid w:val="00362338"/>
    <w:rsid w:val="00365267"/>
    <w:rsid w:val="00365C72"/>
    <w:rsid w:val="00382EA6"/>
    <w:rsid w:val="0038597B"/>
    <w:rsid w:val="003867FA"/>
    <w:rsid w:val="00392DE6"/>
    <w:rsid w:val="003932CE"/>
    <w:rsid w:val="003959E8"/>
    <w:rsid w:val="003A2A10"/>
    <w:rsid w:val="003B7455"/>
    <w:rsid w:val="003C1E3E"/>
    <w:rsid w:val="003C1EF8"/>
    <w:rsid w:val="003D18CC"/>
    <w:rsid w:val="003D2E8F"/>
    <w:rsid w:val="003D326A"/>
    <w:rsid w:val="003D40A9"/>
    <w:rsid w:val="003E383E"/>
    <w:rsid w:val="003F0170"/>
    <w:rsid w:val="003F61F9"/>
    <w:rsid w:val="00407541"/>
    <w:rsid w:val="00410FC2"/>
    <w:rsid w:val="004317FD"/>
    <w:rsid w:val="004341EE"/>
    <w:rsid w:val="00434EC2"/>
    <w:rsid w:val="004451BB"/>
    <w:rsid w:val="00447904"/>
    <w:rsid w:val="00451E9F"/>
    <w:rsid w:val="00452CE4"/>
    <w:rsid w:val="004570E8"/>
    <w:rsid w:val="004627B7"/>
    <w:rsid w:val="0047207C"/>
    <w:rsid w:val="0047357E"/>
    <w:rsid w:val="00483E0F"/>
    <w:rsid w:val="00490F2A"/>
    <w:rsid w:val="004A6A41"/>
    <w:rsid w:val="004B20CD"/>
    <w:rsid w:val="004C26FF"/>
    <w:rsid w:val="004C608B"/>
    <w:rsid w:val="004D7401"/>
    <w:rsid w:val="004E2F12"/>
    <w:rsid w:val="004F0BA6"/>
    <w:rsid w:val="005005B1"/>
    <w:rsid w:val="00503B61"/>
    <w:rsid w:val="0050460B"/>
    <w:rsid w:val="00511473"/>
    <w:rsid w:val="00512481"/>
    <w:rsid w:val="0051301E"/>
    <w:rsid w:val="00521CC3"/>
    <w:rsid w:val="00524469"/>
    <w:rsid w:val="00530751"/>
    <w:rsid w:val="0054277D"/>
    <w:rsid w:val="00554A4E"/>
    <w:rsid w:val="00557588"/>
    <w:rsid w:val="00564E0B"/>
    <w:rsid w:val="00565CE4"/>
    <w:rsid w:val="00574A5C"/>
    <w:rsid w:val="00576418"/>
    <w:rsid w:val="0058089D"/>
    <w:rsid w:val="00585B47"/>
    <w:rsid w:val="00592E35"/>
    <w:rsid w:val="0059484A"/>
    <w:rsid w:val="0059527E"/>
    <w:rsid w:val="005B1460"/>
    <w:rsid w:val="005C6916"/>
    <w:rsid w:val="005C74B1"/>
    <w:rsid w:val="005D13C3"/>
    <w:rsid w:val="005D19F5"/>
    <w:rsid w:val="005D3C83"/>
    <w:rsid w:val="005D4ED7"/>
    <w:rsid w:val="005D7CCC"/>
    <w:rsid w:val="005E7214"/>
    <w:rsid w:val="005F1B34"/>
    <w:rsid w:val="005F515E"/>
    <w:rsid w:val="006111DF"/>
    <w:rsid w:val="0062313F"/>
    <w:rsid w:val="00627212"/>
    <w:rsid w:val="00630647"/>
    <w:rsid w:val="00633C2A"/>
    <w:rsid w:val="00642BA9"/>
    <w:rsid w:val="0065050D"/>
    <w:rsid w:val="006535AC"/>
    <w:rsid w:val="00655014"/>
    <w:rsid w:val="00657788"/>
    <w:rsid w:val="00657CA6"/>
    <w:rsid w:val="006770C3"/>
    <w:rsid w:val="0068304E"/>
    <w:rsid w:val="00692463"/>
    <w:rsid w:val="00692E13"/>
    <w:rsid w:val="006B13E8"/>
    <w:rsid w:val="006B6E07"/>
    <w:rsid w:val="006D2A19"/>
    <w:rsid w:val="006D499D"/>
    <w:rsid w:val="006D67A6"/>
    <w:rsid w:val="006D6A7B"/>
    <w:rsid w:val="006E0462"/>
    <w:rsid w:val="006F4DF5"/>
    <w:rsid w:val="006F7D50"/>
    <w:rsid w:val="006F7EF2"/>
    <w:rsid w:val="007017EE"/>
    <w:rsid w:val="00710A13"/>
    <w:rsid w:val="007111DE"/>
    <w:rsid w:val="007222B4"/>
    <w:rsid w:val="007322D7"/>
    <w:rsid w:val="007475F4"/>
    <w:rsid w:val="00752148"/>
    <w:rsid w:val="00754798"/>
    <w:rsid w:val="00763957"/>
    <w:rsid w:val="00773004"/>
    <w:rsid w:val="00775C76"/>
    <w:rsid w:val="00780F79"/>
    <w:rsid w:val="00781224"/>
    <w:rsid w:val="007A1993"/>
    <w:rsid w:val="007A5737"/>
    <w:rsid w:val="007B156F"/>
    <w:rsid w:val="007B5427"/>
    <w:rsid w:val="007B6C40"/>
    <w:rsid w:val="007D094A"/>
    <w:rsid w:val="007D52EF"/>
    <w:rsid w:val="007D5903"/>
    <w:rsid w:val="007E244B"/>
    <w:rsid w:val="007F265F"/>
    <w:rsid w:val="007F4222"/>
    <w:rsid w:val="007F52A7"/>
    <w:rsid w:val="00802A3A"/>
    <w:rsid w:val="0080459E"/>
    <w:rsid w:val="00811A34"/>
    <w:rsid w:val="00815469"/>
    <w:rsid w:val="008243A8"/>
    <w:rsid w:val="008326AF"/>
    <w:rsid w:val="008371FB"/>
    <w:rsid w:val="008415B4"/>
    <w:rsid w:val="00847292"/>
    <w:rsid w:val="008510BC"/>
    <w:rsid w:val="00854EDE"/>
    <w:rsid w:val="00855BC0"/>
    <w:rsid w:val="008607CA"/>
    <w:rsid w:val="008915D2"/>
    <w:rsid w:val="00895C95"/>
    <w:rsid w:val="008A7A76"/>
    <w:rsid w:val="008E3A03"/>
    <w:rsid w:val="008E7AEC"/>
    <w:rsid w:val="00900557"/>
    <w:rsid w:val="00902105"/>
    <w:rsid w:val="00903DB3"/>
    <w:rsid w:val="0090566B"/>
    <w:rsid w:val="00916964"/>
    <w:rsid w:val="0092096B"/>
    <w:rsid w:val="00921F43"/>
    <w:rsid w:val="00922D2D"/>
    <w:rsid w:val="00925EF6"/>
    <w:rsid w:val="009261FC"/>
    <w:rsid w:val="00941608"/>
    <w:rsid w:val="00942693"/>
    <w:rsid w:val="00942B5F"/>
    <w:rsid w:val="00960CE6"/>
    <w:rsid w:val="009675BD"/>
    <w:rsid w:val="0097197F"/>
    <w:rsid w:val="00973151"/>
    <w:rsid w:val="00976D29"/>
    <w:rsid w:val="0097714C"/>
    <w:rsid w:val="009A019F"/>
    <w:rsid w:val="009A5689"/>
    <w:rsid w:val="009A79A6"/>
    <w:rsid w:val="009B1CD3"/>
    <w:rsid w:val="009C668D"/>
    <w:rsid w:val="009F77F4"/>
    <w:rsid w:val="00A0430E"/>
    <w:rsid w:val="00A0472B"/>
    <w:rsid w:val="00A24A26"/>
    <w:rsid w:val="00A31AD7"/>
    <w:rsid w:val="00A3478E"/>
    <w:rsid w:val="00A36C94"/>
    <w:rsid w:val="00A4660A"/>
    <w:rsid w:val="00A504AD"/>
    <w:rsid w:val="00A600E9"/>
    <w:rsid w:val="00A63F78"/>
    <w:rsid w:val="00A66749"/>
    <w:rsid w:val="00A6693D"/>
    <w:rsid w:val="00A70620"/>
    <w:rsid w:val="00A727CB"/>
    <w:rsid w:val="00A75E30"/>
    <w:rsid w:val="00A8305B"/>
    <w:rsid w:val="00A83963"/>
    <w:rsid w:val="00A87594"/>
    <w:rsid w:val="00A96BC3"/>
    <w:rsid w:val="00A96E7E"/>
    <w:rsid w:val="00AA0E9D"/>
    <w:rsid w:val="00AB1BC1"/>
    <w:rsid w:val="00AB3DD8"/>
    <w:rsid w:val="00AB7D16"/>
    <w:rsid w:val="00AC002E"/>
    <w:rsid w:val="00AC2ED2"/>
    <w:rsid w:val="00AC626C"/>
    <w:rsid w:val="00AD315C"/>
    <w:rsid w:val="00AE0CC0"/>
    <w:rsid w:val="00AF0F01"/>
    <w:rsid w:val="00B00E0C"/>
    <w:rsid w:val="00B01AC2"/>
    <w:rsid w:val="00B02B71"/>
    <w:rsid w:val="00B04623"/>
    <w:rsid w:val="00B07496"/>
    <w:rsid w:val="00B25A40"/>
    <w:rsid w:val="00B25D6C"/>
    <w:rsid w:val="00B312F4"/>
    <w:rsid w:val="00B32223"/>
    <w:rsid w:val="00B5275A"/>
    <w:rsid w:val="00B705BB"/>
    <w:rsid w:val="00B86E6A"/>
    <w:rsid w:val="00B92DC4"/>
    <w:rsid w:val="00BA60B2"/>
    <w:rsid w:val="00BA799B"/>
    <w:rsid w:val="00BB754A"/>
    <w:rsid w:val="00BD0638"/>
    <w:rsid w:val="00BD5B7A"/>
    <w:rsid w:val="00BE4526"/>
    <w:rsid w:val="00BE58EA"/>
    <w:rsid w:val="00BE63DA"/>
    <w:rsid w:val="00BE75B6"/>
    <w:rsid w:val="00BF6CB8"/>
    <w:rsid w:val="00BF74DB"/>
    <w:rsid w:val="00C105D0"/>
    <w:rsid w:val="00C12FA5"/>
    <w:rsid w:val="00C13441"/>
    <w:rsid w:val="00C14654"/>
    <w:rsid w:val="00C1667B"/>
    <w:rsid w:val="00C16832"/>
    <w:rsid w:val="00C17B4C"/>
    <w:rsid w:val="00C24AEF"/>
    <w:rsid w:val="00C3754E"/>
    <w:rsid w:val="00C401C4"/>
    <w:rsid w:val="00C45272"/>
    <w:rsid w:val="00C47FE0"/>
    <w:rsid w:val="00C530C2"/>
    <w:rsid w:val="00C5336C"/>
    <w:rsid w:val="00C62DBE"/>
    <w:rsid w:val="00C644E8"/>
    <w:rsid w:val="00C65A24"/>
    <w:rsid w:val="00C710D8"/>
    <w:rsid w:val="00C71891"/>
    <w:rsid w:val="00CA15D5"/>
    <w:rsid w:val="00CA20D9"/>
    <w:rsid w:val="00CA41F7"/>
    <w:rsid w:val="00CB6259"/>
    <w:rsid w:val="00CC7640"/>
    <w:rsid w:val="00CD0218"/>
    <w:rsid w:val="00CD6114"/>
    <w:rsid w:val="00CF0E81"/>
    <w:rsid w:val="00CF2489"/>
    <w:rsid w:val="00CF7297"/>
    <w:rsid w:val="00CF77E0"/>
    <w:rsid w:val="00D00679"/>
    <w:rsid w:val="00D06599"/>
    <w:rsid w:val="00D0799C"/>
    <w:rsid w:val="00D1300F"/>
    <w:rsid w:val="00D216D2"/>
    <w:rsid w:val="00D263E9"/>
    <w:rsid w:val="00D30DD5"/>
    <w:rsid w:val="00D41318"/>
    <w:rsid w:val="00D45DCD"/>
    <w:rsid w:val="00D52117"/>
    <w:rsid w:val="00D63FBC"/>
    <w:rsid w:val="00D72C96"/>
    <w:rsid w:val="00D7527B"/>
    <w:rsid w:val="00D77C74"/>
    <w:rsid w:val="00D87A8E"/>
    <w:rsid w:val="00D91974"/>
    <w:rsid w:val="00D93D8C"/>
    <w:rsid w:val="00D96C36"/>
    <w:rsid w:val="00DB4DE4"/>
    <w:rsid w:val="00DC1423"/>
    <w:rsid w:val="00DD527E"/>
    <w:rsid w:val="00DE2AEF"/>
    <w:rsid w:val="00DE7319"/>
    <w:rsid w:val="00DF0E1F"/>
    <w:rsid w:val="00DF3609"/>
    <w:rsid w:val="00E02C14"/>
    <w:rsid w:val="00E170E5"/>
    <w:rsid w:val="00E22494"/>
    <w:rsid w:val="00E25B87"/>
    <w:rsid w:val="00E25FA1"/>
    <w:rsid w:val="00E32E11"/>
    <w:rsid w:val="00E338E1"/>
    <w:rsid w:val="00E57440"/>
    <w:rsid w:val="00E61066"/>
    <w:rsid w:val="00E635C1"/>
    <w:rsid w:val="00E66F2F"/>
    <w:rsid w:val="00E71296"/>
    <w:rsid w:val="00E74C27"/>
    <w:rsid w:val="00E81149"/>
    <w:rsid w:val="00E819ED"/>
    <w:rsid w:val="00E952A7"/>
    <w:rsid w:val="00EA3F3F"/>
    <w:rsid w:val="00EB77F6"/>
    <w:rsid w:val="00EC30FA"/>
    <w:rsid w:val="00ED1001"/>
    <w:rsid w:val="00ED41A0"/>
    <w:rsid w:val="00ED57EC"/>
    <w:rsid w:val="00EE320F"/>
    <w:rsid w:val="00EF3B6C"/>
    <w:rsid w:val="00F1242C"/>
    <w:rsid w:val="00F210CA"/>
    <w:rsid w:val="00F2740F"/>
    <w:rsid w:val="00F32676"/>
    <w:rsid w:val="00F36B93"/>
    <w:rsid w:val="00F44322"/>
    <w:rsid w:val="00F4674C"/>
    <w:rsid w:val="00F50D1F"/>
    <w:rsid w:val="00F52EC7"/>
    <w:rsid w:val="00F546D8"/>
    <w:rsid w:val="00F56C08"/>
    <w:rsid w:val="00F66A44"/>
    <w:rsid w:val="00F70A83"/>
    <w:rsid w:val="00F822B5"/>
    <w:rsid w:val="00F96D8D"/>
    <w:rsid w:val="00F97054"/>
    <w:rsid w:val="00FA1C72"/>
    <w:rsid w:val="00FB32E0"/>
    <w:rsid w:val="00FD6183"/>
    <w:rsid w:val="00FE41D8"/>
    <w:rsid w:val="00FE5C88"/>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02DDF"/>
  <w14:defaultImageDpi w14:val="330"/>
  <w15:docId w15:val="{9AE40C2C-D322-7944-97DC-DD3CF83A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CD0218"/>
    <w:pPr>
      <w:spacing w:after="240" w:line="280" w:lineRule="atLeast"/>
    </w:pPr>
    <w:rPr>
      <w:rFonts w:ascii="Gill Sans MT" w:hAnsi="Gill Sans MT" w:cs="GillSansMTStd-Book"/>
      <w:color w:val="6C6463"/>
      <w:sz w:val="22"/>
      <w:szCs w:val="22"/>
    </w:rPr>
  </w:style>
  <w:style w:type="paragraph" w:styleId="Heading1">
    <w:name w:val="heading 1"/>
    <w:next w:val="Normal"/>
    <w:link w:val="Heading1Char"/>
    <w:uiPriority w:val="2"/>
    <w:qFormat/>
    <w:rsid w:val="00BA60B2"/>
    <w:pPr>
      <w:spacing w:before="360" w:after="120"/>
      <w:outlineLvl w:val="0"/>
    </w:pPr>
    <w:rPr>
      <w:rFonts w:ascii="Gill Sans MT" w:hAnsi="Gill Sans MT" w:cs="GillSansMTStd-Book"/>
      <w:b/>
      <w:bCs/>
      <w:caps/>
      <w:noProof/>
      <w:color w:val="C2113A"/>
      <w:sz w:val="28"/>
      <w:szCs w:val="26"/>
    </w:rPr>
  </w:style>
  <w:style w:type="paragraph" w:styleId="Heading2">
    <w:name w:val="heading 2"/>
    <w:basedOn w:val="Normal"/>
    <w:next w:val="Normal"/>
    <w:link w:val="Heading2Char"/>
    <w:uiPriority w:val="2"/>
    <w:qFormat/>
    <w:rsid w:val="0031195C"/>
    <w:pPr>
      <w:spacing w:before="320" w:after="120"/>
      <w:outlineLvl w:val="1"/>
    </w:pPr>
    <w:rPr>
      <w:b/>
      <w:bCs/>
      <w:caps/>
      <w:color w:val="002F6C"/>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5C74B1"/>
    <w:pPr>
      <w:outlineLvl w:val="3"/>
    </w:pPr>
    <w:rPr>
      <w:rFonts w:ascii="Gill Sans MT" w:hAnsi="Gill Sans MT" w:cs="GillSansMTStd-Book"/>
      <w:b/>
      <w:bCs/>
      <w:caps/>
      <w:color w:val="7F7F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A60B2"/>
    <w:rPr>
      <w:rFonts w:ascii="Gill Sans MT" w:hAnsi="Gill Sans MT" w:cs="GillSansMTStd-Book"/>
      <w:b/>
      <w:bCs/>
      <w:caps/>
      <w:noProof/>
      <w:color w:val="C2113A"/>
      <w:sz w:val="28"/>
      <w:szCs w:val="26"/>
    </w:rPr>
  </w:style>
  <w:style w:type="paragraph" w:styleId="NoSpacing">
    <w:name w:val="No Spacing"/>
    <w:uiPriority w:val="3"/>
    <w:qFormat/>
    <w:rsid w:val="0006439D"/>
    <w:pPr>
      <w:widowControl w:val="0"/>
      <w:autoSpaceDE w:val="0"/>
      <w:autoSpaceDN w:val="0"/>
      <w:adjustRightInd w:val="0"/>
      <w:textAlignment w:val="center"/>
    </w:pPr>
    <w:rPr>
      <w:rFonts w:ascii="Gill Sans MT" w:hAnsi="Gill Sans MT" w:cs="GillSansMTStd-Book"/>
      <w:color w:val="7F7F7F" w:themeColor="text1" w:themeTint="80"/>
      <w:sz w:val="22"/>
      <w:szCs w:val="22"/>
    </w:rPr>
  </w:style>
  <w:style w:type="paragraph" w:styleId="Title">
    <w:name w:val="Title"/>
    <w:next w:val="Normal"/>
    <w:link w:val="TitleChar"/>
    <w:qFormat/>
    <w:rsid w:val="00521CC3"/>
    <w:pPr>
      <w:spacing w:after="80" w:line="560" w:lineRule="atLeast"/>
      <w:contextualSpacing/>
    </w:pPr>
    <w:rPr>
      <w:rFonts w:ascii="Gill Sans MT" w:eastAsia="MS Gothic" w:hAnsi="Gill Sans MT"/>
      <w:caps/>
      <w:noProof/>
      <w:color w:val="C2113A"/>
      <w:kern w:val="24"/>
      <w:sz w:val="32"/>
      <w:szCs w:val="52"/>
    </w:rPr>
  </w:style>
  <w:style w:type="character" w:customStyle="1" w:styleId="TitleChar">
    <w:name w:val="Title Char"/>
    <w:link w:val="Title"/>
    <w:rsid w:val="00521CC3"/>
    <w:rPr>
      <w:rFonts w:ascii="Gill Sans MT" w:eastAsia="MS Gothic" w:hAnsi="Gill Sans MT"/>
      <w:caps/>
      <w:noProof/>
      <w:color w:val="C2113A"/>
      <w:kern w:val="24"/>
      <w:sz w:val="32"/>
      <w:szCs w:val="52"/>
    </w:rPr>
  </w:style>
  <w:style w:type="paragraph" w:styleId="Footer">
    <w:name w:val="footer"/>
    <w:basedOn w:val="Normal"/>
    <w:link w:val="FooterChar"/>
    <w:uiPriority w:val="99"/>
    <w:unhideWhenUsed/>
    <w:qFormat/>
    <w:rsid w:val="006770C3"/>
    <w:pPr>
      <w:tabs>
        <w:tab w:val="center" w:pos="4320"/>
        <w:tab w:val="right" w:pos="8640"/>
      </w:tabs>
      <w:spacing w:after="0" w:line="240" w:lineRule="auto"/>
    </w:pPr>
    <w:rPr>
      <w:caps/>
      <w:sz w:val="16"/>
      <w:szCs w:val="16"/>
    </w:rPr>
  </w:style>
  <w:style w:type="character" w:customStyle="1" w:styleId="FooterChar">
    <w:name w:val="Footer Char"/>
    <w:link w:val="Footer"/>
    <w:uiPriority w:val="99"/>
    <w:rsid w:val="006770C3"/>
    <w:rPr>
      <w:rFonts w:ascii="Gill Sans MT" w:hAnsi="Gill Sans MT" w:cs="GillSansMTStd-Book"/>
      <w:caps/>
      <w:color w:val="565A5C"/>
      <w:sz w:val="16"/>
      <w:szCs w:val="16"/>
    </w:rPr>
  </w:style>
  <w:style w:type="paragraph" w:customStyle="1" w:styleId="ACRSubtitle">
    <w:name w:val="ACR Subtitle"/>
    <w:uiPriority w:val="2"/>
    <w:qFormat/>
    <w:rsid w:val="003B7455"/>
    <w:rPr>
      <w:rFonts w:ascii="Gill Sans MT" w:hAnsi="Gill Sans MT" w:cs="GillSansMTStd-Book"/>
      <w:caps/>
      <w:color w:val="6C6463"/>
      <w:sz w:val="36"/>
      <w:szCs w:val="22"/>
    </w:rPr>
  </w:style>
  <w:style w:type="paragraph" w:customStyle="1" w:styleId="ACRflyertitle">
    <w:name w:val="ACR flyer title"/>
    <w:uiPriority w:val="2"/>
    <w:qFormat/>
    <w:rsid w:val="003B7455"/>
    <w:pPr>
      <w:spacing w:after="160"/>
    </w:pPr>
    <w:rPr>
      <w:rFonts w:ascii="Gill Sans MT" w:hAnsi="Gill Sans MT" w:cs="STIXVariants-Bold"/>
      <w:color w:val="002F6C"/>
      <w:sz w:val="64"/>
      <w:szCs w:val="2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31195C"/>
    <w:rPr>
      <w:rFonts w:ascii="Gill Sans MT" w:hAnsi="Gill Sans MT" w:cs="GillSansMTStd-Book"/>
      <w:b/>
      <w:bCs/>
      <w:caps/>
      <w:color w:val="002F6C"/>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5C74B1"/>
    <w:rPr>
      <w:rFonts w:ascii="Gill Sans MT" w:hAnsi="Gill Sans MT" w:cs="GillSansMTStd-Book"/>
      <w:b/>
      <w:bCs/>
      <w:caps/>
      <w:color w:val="7F7F7F"/>
      <w:sz w:val="20"/>
      <w:szCs w:val="22"/>
    </w:rPr>
  </w:style>
  <w:style w:type="paragraph" w:customStyle="1" w:styleId="Bullet1">
    <w:name w:val="Bullet 1"/>
    <w:basedOn w:val="Normal"/>
    <w:autoRedefine/>
    <w:uiPriority w:val="2"/>
    <w:qFormat/>
    <w:rsid w:val="00B705BB"/>
    <w:pPr>
      <w:widowControl w:val="0"/>
      <w:numPr>
        <w:numId w:val="17"/>
      </w:numPr>
      <w:autoSpaceDE w:val="0"/>
      <w:autoSpaceDN w:val="0"/>
      <w:adjustRightInd w:val="0"/>
      <w:spacing w:after="8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CD0218"/>
    <w:pPr>
      <w:numPr>
        <w:numId w:val="18"/>
      </w:numPr>
      <w:spacing w:after="240" w:line="280" w:lineRule="atLeast"/>
    </w:pPr>
    <w:rPr>
      <w:rFonts w:ascii="Gill Sans MT" w:hAnsi="Gill Sans MT" w:cs="GillSansMTStd-Book"/>
      <w:color w:val="6C6463"/>
      <w:sz w:val="22"/>
      <w:szCs w:val="22"/>
    </w:rPr>
  </w:style>
  <w:style w:type="paragraph" w:customStyle="1" w:styleId="Right-Credit">
    <w:name w:val="Right-Credit"/>
    <w:basedOn w:val="Normal"/>
    <w:next w:val="Normal"/>
    <w:uiPriority w:val="99"/>
    <w:qFormat/>
    <w:rsid w:val="00282B1E"/>
    <w:pPr>
      <w:suppressAutoHyphens/>
      <w:spacing w:before="40" w:after="40" w:line="240" w:lineRule="auto"/>
      <w:jc w:val="right"/>
    </w:pPr>
    <w:rPr>
      <w:rFonts w:ascii="GillSansMTStd-Book" w:hAnsi="GillSansMTStd-Book"/>
      <w:caps/>
      <w:color w:val="7F7F7F" w:themeColor="text1" w:themeTint="80"/>
      <w:spacing w:val="1"/>
      <w:sz w:val="12"/>
      <w:szCs w:val="12"/>
    </w:rPr>
  </w:style>
  <w:style w:type="paragraph" w:customStyle="1" w:styleId="Instructions">
    <w:name w:val="Instructions"/>
    <w:next w:val="Normal"/>
    <w:uiPriority w:val="2"/>
    <w:qFormat/>
    <w:rsid w:val="00781224"/>
    <w:pPr>
      <w:numPr>
        <w:numId w:val="21"/>
      </w:numPr>
      <w:spacing w:before="120" w:after="120"/>
      <w:ind w:left="180" w:hanging="180"/>
    </w:pPr>
    <w:rPr>
      <w:rFonts w:ascii="Gill Sans MT" w:hAnsi="Gill Sans MT"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D96C36"/>
    <w:rPr>
      <w:rFonts w:ascii="Gill Sans MT" w:hAnsi="Gill Sans MT"/>
      <w:b w:val="0"/>
      <w:i w:val="0"/>
      <w:color w:val="7F7F7F"/>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CD0218"/>
    <w:pPr>
      <w:spacing w:before="40" w:after="40" w:line="240" w:lineRule="auto"/>
    </w:pPr>
    <w:rPr>
      <w:caps/>
      <w:noProof/>
      <w:sz w:val="12"/>
      <w:szCs w:val="12"/>
    </w:rPr>
  </w:style>
  <w:style w:type="paragraph" w:styleId="Quote">
    <w:name w:val="Quote"/>
    <w:basedOn w:val="Normal"/>
    <w:next w:val="Normal"/>
    <w:link w:val="QuoteChar"/>
    <w:uiPriority w:val="29"/>
    <w:qFormat/>
    <w:rsid w:val="00692463"/>
    <w:pPr>
      <w:numPr>
        <w:ilvl w:val="1"/>
      </w:numPr>
      <w:spacing w:before="240" w:line="240" w:lineRule="auto"/>
    </w:pPr>
    <w:rPr>
      <w:rFonts w:eastAsia="Calibri" w:cs="Calibri"/>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CD0218"/>
    <w:pPr>
      <w:spacing w:before="480"/>
      <w:jc w:val="right"/>
    </w:pPr>
    <w:rPr>
      <w:rFonts w:ascii="Gill Sans MT" w:hAnsi="Gill Sans MT"/>
      <w:noProof/>
      <w:color w:val="6C6463"/>
      <w:sz w:val="22"/>
    </w:rPr>
  </w:style>
  <w:style w:type="paragraph" w:customStyle="1" w:styleId="Photo">
    <w:name w:val="Photo"/>
    <w:uiPriority w:val="2"/>
    <w:qFormat/>
    <w:rsid w:val="006F4DF5"/>
    <w:rPr>
      <w:rFonts w:ascii="Gill Sans MT" w:hAnsi="Gill Sans MT"/>
      <w:noProof/>
      <w:color w:val="7F7F7F"/>
      <w:sz w:val="22"/>
    </w:rPr>
  </w:style>
  <w:style w:type="paragraph" w:customStyle="1" w:styleId="CaptionBox">
    <w:name w:val="Caption Box"/>
    <w:uiPriority w:val="2"/>
    <w:qFormat/>
    <w:rsid w:val="00FE41D8"/>
    <w:pPr>
      <w:spacing w:before="120" w:after="120"/>
    </w:pPr>
    <w:rPr>
      <w:rFonts w:ascii="Gill Sans MT" w:eastAsiaTheme="minorEastAsia" w:hAnsi="Gill Sans MT" w:cs="GillSansMTStd-Book"/>
      <w:color w:val="7F7F7F" w:themeColor="text1" w:themeTint="80"/>
      <w:sz w:val="16"/>
      <w:szCs w:val="16"/>
    </w:rPr>
  </w:style>
  <w:style w:type="table" w:styleId="TableGrid">
    <w:name w:val="Table Grid"/>
    <w:basedOn w:val="TableNormal"/>
    <w:uiPriority w:val="59"/>
    <w:rsid w:val="0065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le">
    <w:name w:val="Sub Tile"/>
    <w:uiPriority w:val="2"/>
    <w:qFormat/>
    <w:rsid w:val="002533AE"/>
    <w:rPr>
      <w:rFonts w:ascii="Gill Sans MT" w:eastAsia="MS Gothic" w:hAnsi="Gill Sans MT"/>
      <w:caps/>
      <w:noProof/>
      <w:color w:val="EEECE1" w:themeColor="background2"/>
      <w:kern w:val="24"/>
      <w:sz w:val="44"/>
      <w:szCs w:val="52"/>
    </w:rPr>
  </w:style>
  <w:style w:type="paragraph" w:customStyle="1" w:styleId="Introtext">
    <w:name w:val="Intro text"/>
    <w:uiPriority w:val="2"/>
    <w:qFormat/>
    <w:rsid w:val="003B7455"/>
    <w:pPr>
      <w:spacing w:before="80" w:after="80"/>
    </w:pPr>
    <w:rPr>
      <w:rFonts w:ascii="Gill Sans MT" w:hAnsi="Gill Sans MT" w:cs="GillSansMTStd-Book"/>
      <w:color w:val="6C6463"/>
      <w:sz w:val="28"/>
      <w:szCs w:val="22"/>
    </w:rPr>
  </w:style>
  <w:style w:type="paragraph" w:customStyle="1" w:styleId="ExhibitTitle">
    <w:name w:val="Exhibit Title"/>
    <w:basedOn w:val="Normal"/>
    <w:next w:val="Normal"/>
    <w:qFormat/>
    <w:rsid w:val="00EB77F6"/>
    <w:pPr>
      <w:keepNext/>
      <w:keepLines/>
      <w:pBdr>
        <w:top w:val="single" w:sz="18" w:space="1" w:color="0067B9"/>
      </w:pBdr>
      <w:spacing w:before="240" w:after="60" w:line="276" w:lineRule="auto"/>
      <w:ind w:left="1440" w:hanging="1440"/>
    </w:pPr>
    <w:rPr>
      <w:rFonts w:ascii="Arial" w:eastAsia="Times New Roman" w:hAnsi="Arial" w:cs="Times New Roman"/>
      <w:b/>
      <w:snapToGrid w:val="0"/>
      <w:color w:val="auto"/>
      <w:sz w:val="18"/>
      <w:szCs w:val="20"/>
    </w:rPr>
  </w:style>
  <w:style w:type="paragraph" w:styleId="ListParagraph">
    <w:name w:val="List Paragraph"/>
    <w:basedOn w:val="Normal"/>
    <w:uiPriority w:val="34"/>
    <w:qFormat/>
    <w:rsid w:val="00E61066"/>
    <w:pPr>
      <w:spacing w:after="160" w:line="259" w:lineRule="auto"/>
      <w:ind w:left="720"/>
      <w:contextualSpacing/>
    </w:pPr>
    <w:rPr>
      <w:rFonts w:asciiTheme="minorHAnsi" w:eastAsiaTheme="minorHAnsi" w:hAnsiTheme="minorHAnsi" w:cstheme="minorBidi"/>
      <w:color w:val="auto"/>
    </w:rPr>
  </w:style>
  <w:style w:type="table" w:customStyle="1" w:styleId="GridTable21">
    <w:name w:val="Grid Table 21"/>
    <w:basedOn w:val="TableNormal"/>
    <w:next w:val="GridTable2"/>
    <w:uiPriority w:val="47"/>
    <w:rsid w:val="00E61066"/>
    <w:rPr>
      <w:rFonts w:asciiTheme="minorHAnsi" w:eastAsia="Times New Roman" w:hAnsiTheme="minorHAnsi" w:cstheme="minorBid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
    <w:name w:val="Grid Table 2"/>
    <w:basedOn w:val="TableNormal"/>
    <w:uiPriority w:val="99"/>
    <w:semiHidden/>
    <w:rsid w:val="00E6106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celtext">
    <w:name w:val="Table cel text"/>
    <w:uiPriority w:val="2"/>
    <w:qFormat/>
    <w:rsid w:val="006D67A6"/>
    <w:rPr>
      <w:rFonts w:ascii="Gill Sans MT" w:hAnsi="Gill Sans MT" w:cs="Arial"/>
      <w:color w:val="6C6463"/>
      <w:sz w:val="16"/>
      <w:szCs w:val="16"/>
    </w:rPr>
  </w:style>
  <w:style w:type="paragraph" w:customStyle="1" w:styleId="Tabelcellbullet">
    <w:name w:val="Tabel cell bullet"/>
    <w:basedOn w:val="Tableceltext"/>
    <w:uiPriority w:val="2"/>
    <w:qFormat/>
    <w:rsid w:val="0031195C"/>
    <w:pPr>
      <w:numPr>
        <w:numId w:val="27"/>
      </w:numPr>
      <w:tabs>
        <w:tab w:val="left" w:pos="158"/>
      </w:tabs>
      <w:spacing w:after="20"/>
      <w:ind w:left="158" w:hanging="158"/>
    </w:pPr>
  </w:style>
  <w:style w:type="paragraph" w:customStyle="1" w:styleId="TableColHead">
    <w:name w:val="Table Col Head"/>
    <w:uiPriority w:val="2"/>
    <w:qFormat/>
    <w:rsid w:val="0017385B"/>
    <w:rPr>
      <w:rFonts w:ascii="Gill Sans MT" w:hAnsi="Gill Sans MT" w:cs="Arial"/>
      <w:b/>
      <w:color w:val="6C6463"/>
      <w:sz w:val="16"/>
      <w:szCs w:val="16"/>
    </w:rPr>
  </w:style>
  <w:style w:type="paragraph" w:customStyle="1" w:styleId="BriefText">
    <w:name w:val="Brief Text"/>
    <w:basedOn w:val="Normal"/>
    <w:qFormat/>
    <w:rsid w:val="001160A9"/>
    <w:pPr>
      <w:spacing w:after="60" w:line="264" w:lineRule="auto"/>
    </w:pPr>
    <w:rPr>
      <w:rFonts w:ascii="Arial" w:eastAsiaTheme="minorHAnsi" w:hAnsi="Arial" w:cstheme="minorBidi"/>
      <w:color w:val="auto"/>
    </w:rPr>
  </w:style>
  <w:style w:type="paragraph" w:customStyle="1" w:styleId="LightBlueHeading">
    <w:name w:val="Light Blue Heading"/>
    <w:basedOn w:val="BriefText"/>
    <w:qFormat/>
    <w:rsid w:val="001160A9"/>
    <w:pPr>
      <w:keepNext/>
      <w:keepLines/>
      <w:spacing w:before="240" w:after="120" w:line="240" w:lineRule="auto"/>
    </w:pPr>
    <w:rPr>
      <w:rFonts w:ascii="Arial Bold" w:hAnsi="Arial Bold" w:cs="Times New Roman"/>
      <w:b/>
      <w:color w:val="0067B9"/>
    </w:rPr>
  </w:style>
  <w:style w:type="paragraph" w:customStyle="1" w:styleId="TableText">
    <w:name w:val="Table Text"/>
    <w:basedOn w:val="Normal"/>
    <w:link w:val="TableTextChar"/>
    <w:qFormat/>
    <w:rsid w:val="00F36B93"/>
    <w:pPr>
      <w:spacing w:before="40" w:after="40" w:line="276" w:lineRule="auto"/>
    </w:pPr>
    <w:rPr>
      <w:rFonts w:ascii="Arial" w:eastAsia="Times New Roman" w:hAnsi="Arial" w:cs="Calibri"/>
      <w:color w:val="auto"/>
      <w:sz w:val="18"/>
      <w:szCs w:val="24"/>
    </w:rPr>
  </w:style>
  <w:style w:type="character" w:customStyle="1" w:styleId="TableTextChar">
    <w:name w:val="Table Text Char"/>
    <w:link w:val="TableText"/>
    <w:rsid w:val="00F36B93"/>
    <w:rPr>
      <w:rFonts w:ascii="Arial" w:eastAsia="Times New Roman" w:hAnsi="Arial" w:cs="Calibri"/>
      <w:sz w:val="18"/>
      <w:szCs w:val="24"/>
    </w:rPr>
  </w:style>
  <w:style w:type="paragraph" w:customStyle="1" w:styleId="TableBullet">
    <w:name w:val="Table Bullet"/>
    <w:basedOn w:val="TableText"/>
    <w:rsid w:val="00F36B93"/>
    <w:pPr>
      <w:numPr>
        <w:numId w:val="30"/>
      </w:numPr>
      <w:tabs>
        <w:tab w:val="clear" w:pos="105"/>
        <w:tab w:val="num" w:pos="360"/>
      </w:tabs>
      <w:spacing w:line="240" w:lineRule="auto"/>
      <w:ind w:left="259" w:hanging="259"/>
    </w:pPr>
    <w:rPr>
      <w:szCs w:val="20"/>
    </w:rPr>
  </w:style>
  <w:style w:type="paragraph" w:customStyle="1" w:styleId="References">
    <w:name w:val="References"/>
    <w:qFormat/>
    <w:rsid w:val="00AB7D16"/>
    <w:pPr>
      <w:spacing w:after="80"/>
    </w:pPr>
    <w:rPr>
      <w:rFonts w:ascii="Gill Sans MT" w:hAnsi="Gill Sans MT" w:cs="Arial"/>
      <w:color w:val="6C6463"/>
      <w:sz w:val="16"/>
      <w:szCs w:val="16"/>
    </w:rPr>
  </w:style>
  <w:style w:type="paragraph" w:styleId="BodyText">
    <w:name w:val="Body Text"/>
    <w:basedOn w:val="Normal"/>
    <w:link w:val="BodyTextChar"/>
    <w:qFormat/>
    <w:rsid w:val="00BD5B7A"/>
    <w:pPr>
      <w:spacing w:before="120" w:after="0" w:line="240" w:lineRule="auto"/>
    </w:pPr>
    <w:rPr>
      <w:rFonts w:ascii="Arial" w:eastAsia="Times New Roman" w:hAnsi="Arial" w:cstheme="minorBidi"/>
      <w:color w:val="auto"/>
      <w:szCs w:val="24"/>
    </w:rPr>
  </w:style>
  <w:style w:type="character" w:customStyle="1" w:styleId="BodyTextChar">
    <w:name w:val="Body Text Char"/>
    <w:basedOn w:val="DefaultParagraphFont"/>
    <w:link w:val="BodyText"/>
    <w:rsid w:val="00BD5B7A"/>
    <w:rPr>
      <w:rFonts w:ascii="Arial" w:eastAsia="Times New Roman" w:hAnsi="Arial" w:cstheme="minorBidi"/>
      <w:sz w:val="22"/>
      <w:szCs w:val="24"/>
    </w:rPr>
  </w:style>
  <w:style w:type="character" w:styleId="CommentReference">
    <w:name w:val="annotation reference"/>
    <w:basedOn w:val="DefaultParagraphFont"/>
    <w:uiPriority w:val="99"/>
    <w:semiHidden/>
    <w:unhideWhenUsed/>
    <w:rsid w:val="00BD5B7A"/>
    <w:rPr>
      <w:sz w:val="16"/>
      <w:szCs w:val="16"/>
    </w:rPr>
  </w:style>
  <w:style w:type="paragraph" w:styleId="CommentText">
    <w:name w:val="annotation text"/>
    <w:basedOn w:val="Normal"/>
    <w:link w:val="CommentTextChar"/>
    <w:uiPriority w:val="99"/>
    <w:unhideWhenUsed/>
    <w:rsid w:val="00BD5B7A"/>
    <w:pPr>
      <w:spacing w:after="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BD5B7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DB4DE4"/>
    <w:pPr>
      <w:spacing w:after="240"/>
    </w:pPr>
    <w:rPr>
      <w:rFonts w:ascii="Gill Sans MT" w:eastAsia="MS Mincho" w:hAnsi="Gill Sans MT" w:cs="GillSansMTStd-Book"/>
      <w:b/>
      <w:bCs/>
      <w:color w:val="6C6463"/>
    </w:rPr>
  </w:style>
  <w:style w:type="character" w:customStyle="1" w:styleId="CommentSubjectChar">
    <w:name w:val="Comment Subject Char"/>
    <w:basedOn w:val="CommentTextChar"/>
    <w:link w:val="CommentSubject"/>
    <w:uiPriority w:val="99"/>
    <w:semiHidden/>
    <w:rsid w:val="00DB4DE4"/>
    <w:rPr>
      <w:rFonts w:ascii="Gill Sans MT" w:eastAsiaTheme="minorHAnsi" w:hAnsi="Gill Sans MT" w:cs="GillSansMTStd-Book"/>
      <w:b/>
      <w:bCs/>
      <w:color w:val="6C64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2029287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nec.net/country/indones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arnec.net/country/india-" TargetMode="External"/><Relationship Id="rId17" Type="http://schemas.openxmlformats.org/officeDocument/2006/relationships/hyperlink" Target="http://arnec.net/country/vietn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nec.net/country/philippin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nec.net/country/cambod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nec.net/country/nepal-" TargetMode="External"/><Relationship Id="rId23" Type="http://schemas.openxmlformats.org/officeDocument/2006/relationships/footer" Target="footer6.xml"/><Relationship Id="rId10" Type="http://schemas.openxmlformats.org/officeDocument/2006/relationships/hyperlink" Target="http://arnec.net/country/banglades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arnec.net/country/lao-pdr"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D40C-7344-47CF-9402-89CEF226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2202</Words>
  <Characters>12557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Sonja</dc:creator>
  <cp:keywords/>
  <dc:description/>
  <cp:lastModifiedBy>Dzula, Maria (Ritka)</cp:lastModifiedBy>
  <cp:revision>2</cp:revision>
  <cp:lastPrinted>2018-10-24T22:02:00Z</cp:lastPrinted>
  <dcterms:created xsi:type="dcterms:W3CDTF">2018-11-15T20:29:00Z</dcterms:created>
  <dcterms:modified xsi:type="dcterms:W3CDTF">2018-11-15T20:29:00Z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