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FDF5D" w14:textId="185FC9CD" w:rsidR="00976D29" w:rsidRDefault="00C04725" w:rsidP="00A96BC3">
      <w:pPr>
        <w:pStyle w:val="Title"/>
        <w:spacing w:before="240"/>
      </w:pPr>
      <w:bookmarkStart w:id="0" w:name="_GoBack"/>
      <w:bookmarkEnd w:id="0"/>
      <w:r>
        <w:drawing>
          <wp:anchor distT="0" distB="0" distL="114300" distR="114300" simplePos="0" relativeHeight="251663360" behindDoc="0" locked="0" layoutInCell="1" allowOverlap="1" wp14:anchorId="06A11761" wp14:editId="41450B64">
            <wp:simplePos x="0" y="0"/>
            <wp:positionH relativeFrom="margin">
              <wp:posOffset>3327681</wp:posOffset>
            </wp:positionH>
            <wp:positionV relativeFrom="margin">
              <wp:posOffset>-1371172</wp:posOffset>
            </wp:positionV>
            <wp:extent cx="4092575" cy="3763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 Learning at SDN Wajo South Sulawesi - USAID Prioritas (002).jpg"/>
                    <pic:cNvPicPr/>
                  </pic:nvPicPr>
                  <pic:blipFill rotWithShape="1">
                    <a:blip r:embed="rId8"/>
                    <a:srcRect l="1377" t="-25" r="25913" b="-25"/>
                    <a:stretch/>
                  </pic:blipFill>
                  <pic:spPr bwMode="auto">
                    <a:xfrm>
                      <a:off x="0" y="0"/>
                      <a:ext cx="4092575" cy="376301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6D29" w:rsidRPr="0059484A">
        <w:drawing>
          <wp:anchor distT="0" distB="0" distL="114300" distR="114300" simplePos="0" relativeHeight="251662336" behindDoc="0" locked="0" layoutInCell="1" allowOverlap="1" wp14:anchorId="113BAEC4" wp14:editId="047BF4FE">
            <wp:simplePos x="0" y="0"/>
            <wp:positionH relativeFrom="page">
              <wp:posOffset>984738</wp:posOffset>
            </wp:positionH>
            <wp:positionV relativeFrom="page">
              <wp:posOffset>914400</wp:posOffset>
            </wp:positionV>
            <wp:extent cx="2406896" cy="733530"/>
            <wp:effectExtent l="0" t="0" r="0" b="952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30272" cy="7406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58EB80" w14:textId="77777777" w:rsidR="00976D29" w:rsidRDefault="00976D29" w:rsidP="00A96BC3">
      <w:pPr>
        <w:pStyle w:val="Title"/>
        <w:spacing w:before="240"/>
      </w:pPr>
    </w:p>
    <w:p w14:paraId="624F3283" w14:textId="77777777" w:rsidR="00692463" w:rsidRPr="0059484A" w:rsidRDefault="002533AE" w:rsidP="0047357E">
      <w:pPr>
        <w:pStyle w:val="Title"/>
        <w:spacing w:before="240" w:line="360" w:lineRule="auto"/>
      </w:pPr>
      <w:r w:rsidRPr="0059484A">
        <w:t>All Children Reading – Asia</w:t>
      </w:r>
      <w:r w:rsidR="00F32676" w:rsidRPr="0059484A">
        <w:t xml:space="preserve"> </w:t>
      </w:r>
      <w:r w:rsidR="00A96BC3">
        <w:softHyphen/>
      </w:r>
    </w:p>
    <w:p w14:paraId="1351C175" w14:textId="2AB261D4" w:rsidR="0047357E" w:rsidRDefault="00692463" w:rsidP="00692463">
      <w:pPr>
        <w:pStyle w:val="ACRSubtitle"/>
      </w:pPr>
      <w:r w:rsidRPr="00692463">
        <w:t xml:space="preserve">Early Childhood Education: </w:t>
      </w:r>
    </w:p>
    <w:p w14:paraId="42774E44" w14:textId="4F0C6487" w:rsidR="00692463" w:rsidRDefault="00692463" w:rsidP="00692463">
      <w:pPr>
        <w:pStyle w:val="ACRSubtitle"/>
      </w:pPr>
      <w:r w:rsidRPr="00692463">
        <w:t>Considerations for</w:t>
      </w:r>
      <w:r w:rsidR="0047357E">
        <w:t xml:space="preserve"> </w:t>
      </w:r>
      <w:r w:rsidRPr="00692463">
        <w:t xml:space="preserve">Programming </w:t>
      </w:r>
    </w:p>
    <w:p w14:paraId="76025959" w14:textId="638A22F3" w:rsidR="00692463" w:rsidRPr="0059484A" w:rsidRDefault="00484251" w:rsidP="00902105">
      <w:pPr>
        <w:pStyle w:val="ACRflyertitle"/>
        <w:spacing w:after="80"/>
      </w:pPr>
      <w:r w:rsidRPr="0059484A">
        <w:rPr>
          <w:noProof/>
        </w:rPr>
        <mc:AlternateContent>
          <mc:Choice Requires="wps">
            <w:drawing>
              <wp:anchor distT="0" distB="0" distL="114300" distR="114300" simplePos="0" relativeHeight="251659264" behindDoc="0" locked="0" layoutInCell="1" allowOverlap="1" wp14:anchorId="22F9BB0A" wp14:editId="6664BE3F">
                <wp:simplePos x="0" y="0"/>
                <wp:positionH relativeFrom="column">
                  <wp:posOffset>5672455</wp:posOffset>
                </wp:positionH>
                <wp:positionV relativeFrom="paragraph">
                  <wp:posOffset>414020</wp:posOffset>
                </wp:positionV>
                <wp:extent cx="1986915" cy="384810"/>
                <wp:effectExtent l="0" t="0" r="0" b="7938"/>
                <wp:wrapTight wrapText="bothSides">
                  <wp:wrapPolygon edited="0">
                    <wp:start x="20899" y="659"/>
                    <wp:lineTo x="52" y="659"/>
                    <wp:lineTo x="52" y="19907"/>
                    <wp:lineTo x="20899" y="19907"/>
                    <wp:lineTo x="20899" y="659"/>
                  </wp:wrapPolygon>
                </wp:wrapTight>
                <wp:docPr id="7" name="Text Box 7"/>
                <wp:cNvGraphicFramePr/>
                <a:graphic xmlns:a="http://schemas.openxmlformats.org/drawingml/2006/main">
                  <a:graphicData uri="http://schemas.microsoft.com/office/word/2010/wordprocessingShape">
                    <wps:wsp>
                      <wps:cNvSpPr txBox="1"/>
                      <wps:spPr>
                        <a:xfrm rot="16200000">
                          <a:off x="0" y="0"/>
                          <a:ext cx="1986915" cy="384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509F4A" w14:textId="3DC41C4F" w:rsidR="00564E0B" w:rsidRPr="000A707D" w:rsidRDefault="003959E8" w:rsidP="00521CC3">
                            <w:pPr>
                              <w:pStyle w:val="Left-Credit"/>
                            </w:pPr>
                            <w:r>
                              <w:t xml:space="preserve">PHOTO: </w:t>
                            </w:r>
                            <w:r w:rsidR="00553935">
                              <w:t>Active Learning</w:t>
                            </w:r>
                            <w:r w:rsidRPr="003959E8">
                              <w:t xml:space="preserve"> at SDN </w:t>
                            </w:r>
                            <w:r w:rsidR="00553935">
                              <w:t>Wajo, SOuth SUlawest</w:t>
                            </w:r>
                            <w:r>
                              <w:t xml:space="preserve"> </w:t>
                            </w:r>
                            <w:r w:rsidRPr="003959E8">
                              <w:t>– USAID PRIORITAS projec</w:t>
                            </w:r>
                            <w:r w:rsidR="00327C17">
                              <w:t>T</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9BB0A" id="_x0000_t202" coordsize="21600,21600" o:spt="202" path="m,l,21600r21600,l21600,xe">
                <v:stroke joinstyle="miter"/>
                <v:path gradientshapeok="t" o:connecttype="rect"/>
              </v:shapetype>
              <v:shape id="Text Box 7" o:spid="_x0000_s1026" type="#_x0000_t202" style="position:absolute;margin-left:446.65pt;margin-top:32.6pt;width:156.45pt;height:3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" filled="f" stroked="f">
                <v:textbox inset=".`mm">
                  <w:txbxContent>
                    <w:p w14:paraId="68509F4A" w14:textId="3DC41C4F" w:rsidR="00564E0B" w:rsidRPr="000A707D" w:rsidRDefault="003959E8" w:rsidP="00521CC3">
                      <w:pPr>
                        <w:pStyle w:val="Left-Credit"/>
                      </w:pPr>
                      <w:r>
                        <w:t xml:space="preserve">PHOTO: </w:t>
                      </w:r>
                      <w:r w:rsidR="00553935">
                        <w:t>Active Learning</w:t>
                      </w:r>
                      <w:r w:rsidRPr="003959E8">
                        <w:t xml:space="preserve"> at SDN </w:t>
                      </w:r>
                      <w:r w:rsidR="00553935">
                        <w:t>Wajo, SOuth SUlawest</w:t>
                      </w:r>
                      <w:r>
                        <w:t xml:space="preserve"> </w:t>
                      </w:r>
                      <w:r w:rsidRPr="003959E8">
                        <w:t>– USAID PRIORITAS projec</w:t>
                      </w:r>
                      <w:r w:rsidR="00327C17">
                        <w:t>T</w:t>
                      </w:r>
                    </w:p>
                  </w:txbxContent>
                </v:textbox>
                <w10:wrap type="tight"/>
              </v:shape>
            </w:pict>
          </mc:Fallback>
        </mc:AlternateContent>
      </w:r>
      <w:r w:rsidR="006573B1" w:rsidRPr="006573B1">
        <w:t xml:space="preserve">Early Childhood Educator Quality </w:t>
      </w:r>
    </w:p>
    <w:p w14:paraId="532A9295" w14:textId="2F6FEBCE" w:rsidR="0059484A" w:rsidRDefault="0027708E" w:rsidP="0059484A">
      <w:pPr>
        <w:pStyle w:val="Introtext"/>
      </w:pPr>
      <w:r>
        <w:t>Ensuring</w:t>
      </w:r>
      <w:r w:rsidRPr="006573B1">
        <w:t xml:space="preserve"> </w:t>
      </w:r>
      <w:r w:rsidR="006573B1" w:rsidRPr="006573B1">
        <w:t>availability of educators with adequate training and motivation constitutes an important challenge for expansion and quality of early childhood education</w:t>
      </w:r>
      <w:r w:rsidR="006573B1">
        <w:t>.</w:t>
      </w:r>
    </w:p>
    <w:p w14:paraId="234643A9" w14:textId="77777777" w:rsidR="0059484A" w:rsidRDefault="00EA0E47" w:rsidP="0008229E">
      <w:pPr>
        <w:pStyle w:val="Heading2"/>
        <w:rPr>
          <w:noProof/>
        </w:rPr>
      </w:pPr>
      <w:r>
        <w:rPr>
          <w:noProof/>
        </w:rPr>
        <w:t xml:space="preserve">current </w:t>
      </w:r>
      <w:r w:rsidRPr="00EA0E47">
        <w:rPr>
          <w:noProof/>
        </w:rPr>
        <w:t>Quality guidelines and management for ECE teachers</w:t>
      </w:r>
    </w:p>
    <w:p w14:paraId="599E6297" w14:textId="135693C0" w:rsidR="00EA0E47" w:rsidRDefault="00EA0E47" w:rsidP="00EA0E47">
      <w:r w:rsidRPr="00EA0E47">
        <w:t xml:space="preserve">Sun, Rao, </w:t>
      </w:r>
      <w:r w:rsidR="0027708E">
        <w:t>and</w:t>
      </w:r>
      <w:r w:rsidR="0027708E" w:rsidRPr="00EA0E47">
        <w:t xml:space="preserve"> </w:t>
      </w:r>
      <w:r w:rsidRPr="00EA0E47">
        <w:t xml:space="preserve">Pearson (2015) point out that the number of trained </w:t>
      </w:r>
      <w:r w:rsidR="0027708E">
        <w:t>early childhood education (</w:t>
      </w:r>
      <w:r w:rsidRPr="00EA0E47">
        <w:t>ECE</w:t>
      </w:r>
      <w:r w:rsidR="0027708E">
        <w:t>)</w:t>
      </w:r>
      <w:r w:rsidRPr="00EA0E47">
        <w:t xml:space="preserve"> educators is, in many countries, </w:t>
      </w:r>
      <w:r w:rsidR="0027708E">
        <w:t>grossly</w:t>
      </w:r>
      <w:r w:rsidR="0027708E" w:rsidRPr="00EA0E47">
        <w:t xml:space="preserve"> </w:t>
      </w:r>
      <w:r w:rsidRPr="00EA0E47">
        <w:t>inadequate, especially in rural areas</w:t>
      </w:r>
      <w:r w:rsidR="0027708E">
        <w:t>;</w:t>
      </w:r>
      <w:r w:rsidR="0027708E" w:rsidRPr="00EA0E47">
        <w:t xml:space="preserve"> </w:t>
      </w:r>
      <w:r w:rsidRPr="00EA0E47">
        <w:t>these educators have lower qualifications, status, and wages than primary teachers. Training opportunities and appropriate teacher curriculum are often insufficient, and effective regulatory frameworks for preparing, staffing</w:t>
      </w:r>
      <w:r w:rsidR="0027708E">
        <w:t>,</w:t>
      </w:r>
      <w:r w:rsidRPr="00EA0E47">
        <w:t xml:space="preserve"> and monitoring ECE teachers are often lacking.</w:t>
      </w:r>
      <w:r>
        <w:t xml:space="preserve"> The table</w:t>
      </w:r>
      <w:r w:rsidRPr="00EA0E47">
        <w:t xml:space="preserve"> below presents </w:t>
      </w:r>
      <w:r w:rsidR="00B50524">
        <w:t xml:space="preserve">selected </w:t>
      </w:r>
      <w:r w:rsidRPr="00EA0E47">
        <w:t>country-by-country findings on policy relating to ECE teacher quality.</w:t>
      </w:r>
    </w:p>
    <w:tbl>
      <w:tblPr>
        <w:tblStyle w:val="TableGrid"/>
        <w:tblW w:w="9150" w:type="dxa"/>
        <w:tblCellMar>
          <w:top w:w="14" w:type="dxa"/>
          <w:left w:w="115" w:type="dxa"/>
          <w:bottom w:w="14" w:type="dxa"/>
          <w:right w:w="115" w:type="dxa"/>
        </w:tblCellMar>
        <w:tblLook w:val="04A0" w:firstRow="1" w:lastRow="0" w:firstColumn="1" w:lastColumn="0" w:noHBand="0" w:noVBand="1"/>
      </w:tblPr>
      <w:tblGrid>
        <w:gridCol w:w="1287"/>
        <w:gridCol w:w="7863"/>
      </w:tblGrid>
      <w:tr w:rsidR="00C16323" w14:paraId="630C6053" w14:textId="77777777" w:rsidTr="00E16481">
        <w:trPr>
          <w:cantSplit/>
          <w:trHeight w:val="269"/>
          <w:tblHeader/>
        </w:trPr>
        <w:tc>
          <w:tcPr>
            <w:tcW w:w="9150" w:type="dxa"/>
            <w:gridSpan w:val="2"/>
            <w:tcBorders>
              <w:top w:val="single" w:sz="4" w:space="0" w:color="auto"/>
              <w:left w:val="single" w:sz="4" w:space="0" w:color="auto"/>
              <w:bottom w:val="single" w:sz="4" w:space="0" w:color="auto"/>
              <w:right w:val="single" w:sz="4" w:space="0" w:color="auto"/>
            </w:tcBorders>
            <w:shd w:val="clear" w:color="auto" w:fill="auto"/>
          </w:tcPr>
          <w:p w14:paraId="71D3BD26" w14:textId="3B017D57" w:rsidR="00C16323" w:rsidRPr="00C16323" w:rsidRDefault="00C16323" w:rsidP="00C16323">
            <w:pPr>
              <w:pStyle w:val="BriefText"/>
              <w:rPr>
                <w:b/>
                <w:sz w:val="18"/>
              </w:rPr>
            </w:pPr>
            <w:r w:rsidRPr="00C16323">
              <w:rPr>
                <w:b/>
                <w:sz w:val="18"/>
              </w:rPr>
              <w:t xml:space="preserve">Country </w:t>
            </w:r>
            <w:r w:rsidR="0027708E" w:rsidRPr="00C16323">
              <w:rPr>
                <w:b/>
                <w:sz w:val="18"/>
              </w:rPr>
              <w:t xml:space="preserve">Policies Relating </w:t>
            </w:r>
            <w:r w:rsidRPr="00C16323">
              <w:rPr>
                <w:b/>
                <w:sz w:val="18"/>
              </w:rPr>
              <w:t xml:space="preserve">to ECE </w:t>
            </w:r>
            <w:r w:rsidR="0027708E" w:rsidRPr="00C16323">
              <w:rPr>
                <w:b/>
                <w:sz w:val="18"/>
              </w:rPr>
              <w:t>Teacher Quality</w:t>
            </w:r>
          </w:p>
        </w:tc>
      </w:tr>
      <w:tr w:rsidR="00EA0E47" w14:paraId="723005BA" w14:textId="77777777" w:rsidTr="00C16323">
        <w:trPr>
          <w:cantSplit/>
          <w:trHeight w:val="269"/>
          <w:tblHeader/>
        </w:trPr>
        <w:tc>
          <w:tcPr>
            <w:tcW w:w="1287" w:type="dxa"/>
            <w:tcBorders>
              <w:top w:val="single" w:sz="4" w:space="0" w:color="auto"/>
              <w:left w:val="single" w:sz="4" w:space="0" w:color="auto"/>
              <w:bottom w:val="single" w:sz="4" w:space="0" w:color="auto"/>
              <w:right w:val="single" w:sz="4" w:space="0" w:color="auto"/>
            </w:tcBorders>
            <w:shd w:val="clear" w:color="auto" w:fill="002F6C"/>
            <w:hideMark/>
          </w:tcPr>
          <w:p w14:paraId="2C391D8A" w14:textId="77777777" w:rsidR="00EA0E47" w:rsidRPr="00C16323" w:rsidRDefault="00EA0E47" w:rsidP="00CE7510">
            <w:pPr>
              <w:pStyle w:val="TableHeading"/>
              <w:rPr>
                <w:rFonts w:ascii="Gill Sans MT" w:hAnsi="Gill Sans MT"/>
                <w:sz w:val="16"/>
              </w:rPr>
            </w:pPr>
            <w:r w:rsidRPr="00C16323">
              <w:rPr>
                <w:rFonts w:ascii="Gill Sans MT" w:hAnsi="Gill Sans MT"/>
                <w:sz w:val="16"/>
              </w:rPr>
              <w:t>COUNTRY</w:t>
            </w:r>
          </w:p>
        </w:tc>
        <w:tc>
          <w:tcPr>
            <w:tcW w:w="7863" w:type="dxa"/>
            <w:tcBorders>
              <w:top w:val="single" w:sz="4" w:space="0" w:color="auto"/>
              <w:left w:val="single" w:sz="4" w:space="0" w:color="auto"/>
              <w:bottom w:val="single" w:sz="4" w:space="0" w:color="auto"/>
              <w:right w:val="single" w:sz="4" w:space="0" w:color="auto"/>
            </w:tcBorders>
            <w:shd w:val="clear" w:color="auto" w:fill="002F6C"/>
            <w:hideMark/>
          </w:tcPr>
          <w:p w14:paraId="262EF314" w14:textId="79F9769C" w:rsidR="00EA0E47" w:rsidRPr="00C16323" w:rsidRDefault="00EA0E47" w:rsidP="00CE7510">
            <w:pPr>
              <w:pStyle w:val="TableHeading"/>
              <w:rPr>
                <w:rFonts w:ascii="Gill Sans MT" w:hAnsi="Gill Sans MT"/>
                <w:sz w:val="16"/>
              </w:rPr>
            </w:pPr>
            <w:r w:rsidRPr="00C16323">
              <w:rPr>
                <w:rFonts w:ascii="Gill Sans MT" w:hAnsi="Gill Sans MT"/>
                <w:sz w:val="16"/>
              </w:rPr>
              <w:t xml:space="preserve">Policies on ECE </w:t>
            </w:r>
            <w:r w:rsidR="0027708E" w:rsidRPr="00C16323">
              <w:rPr>
                <w:rFonts w:ascii="Gill Sans MT" w:hAnsi="Gill Sans MT"/>
                <w:sz w:val="16"/>
              </w:rPr>
              <w:t>Teacher Quality</w:t>
            </w:r>
          </w:p>
        </w:tc>
      </w:tr>
      <w:tr w:rsidR="00EA0E47" w:rsidRPr="00961FD0" w14:paraId="0ECE13A4" w14:textId="77777777" w:rsidTr="00C16323">
        <w:trPr>
          <w:cantSplit/>
          <w:trHeight w:val="1182"/>
        </w:trPr>
        <w:tc>
          <w:tcPr>
            <w:tcW w:w="1287" w:type="dxa"/>
            <w:tcBorders>
              <w:top w:val="single" w:sz="4" w:space="0" w:color="auto"/>
              <w:left w:val="single" w:sz="4" w:space="0" w:color="auto"/>
              <w:bottom w:val="single" w:sz="4" w:space="0" w:color="auto"/>
              <w:right w:val="single" w:sz="4" w:space="0" w:color="auto"/>
            </w:tcBorders>
            <w:hideMark/>
          </w:tcPr>
          <w:p w14:paraId="3758AB01" w14:textId="77777777"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Bangladesh</w:t>
            </w:r>
          </w:p>
        </w:tc>
        <w:tc>
          <w:tcPr>
            <w:tcW w:w="7863" w:type="dxa"/>
            <w:tcBorders>
              <w:top w:val="single" w:sz="4" w:space="0" w:color="auto"/>
              <w:left w:val="single" w:sz="4" w:space="0" w:color="auto"/>
              <w:bottom w:val="single" w:sz="4" w:space="0" w:color="auto"/>
              <w:right w:val="single" w:sz="4" w:space="0" w:color="auto"/>
            </w:tcBorders>
            <w:hideMark/>
          </w:tcPr>
          <w:p w14:paraId="5FA517B5" w14:textId="6AAABF90"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 xml:space="preserve">Pre-primary </w:t>
            </w:r>
            <w:r w:rsidR="00810590">
              <w:rPr>
                <w:rFonts w:ascii="Gill Sans MT" w:hAnsi="Gill Sans MT"/>
                <w:sz w:val="16"/>
                <w:szCs w:val="20"/>
              </w:rPr>
              <w:t>e</w:t>
            </w:r>
            <w:r w:rsidR="00810590" w:rsidRPr="00C16323">
              <w:rPr>
                <w:rFonts w:ascii="Gill Sans MT" w:hAnsi="Gill Sans MT"/>
                <w:sz w:val="16"/>
                <w:szCs w:val="20"/>
              </w:rPr>
              <w:t xml:space="preserve">ducation </w:t>
            </w:r>
            <w:r w:rsidRPr="00C16323">
              <w:rPr>
                <w:rFonts w:ascii="Gill Sans MT" w:hAnsi="Gill Sans MT"/>
                <w:sz w:val="16"/>
                <w:szCs w:val="20"/>
              </w:rPr>
              <w:t xml:space="preserve">policy </w:t>
            </w:r>
            <w:r w:rsidR="00797ECC">
              <w:rPr>
                <w:rFonts w:ascii="Gill Sans MT" w:hAnsi="Gill Sans MT"/>
                <w:sz w:val="16"/>
                <w:szCs w:val="20"/>
              </w:rPr>
              <w:t>dictated the creation of</w:t>
            </w:r>
            <w:r w:rsidR="00797ECC" w:rsidRPr="00C16323">
              <w:rPr>
                <w:rFonts w:ascii="Gill Sans MT" w:hAnsi="Gill Sans MT"/>
                <w:sz w:val="16"/>
                <w:szCs w:val="20"/>
              </w:rPr>
              <w:t xml:space="preserve"> </w:t>
            </w:r>
            <w:r w:rsidRPr="00C16323">
              <w:rPr>
                <w:rFonts w:ascii="Gill Sans MT" w:hAnsi="Gill Sans MT"/>
                <w:sz w:val="16"/>
                <w:szCs w:val="20"/>
              </w:rPr>
              <w:t xml:space="preserve">national curriculum, teacher training materials, growth of assistant teacher positions. </w:t>
            </w:r>
          </w:p>
          <w:p w14:paraId="5B8B6C7E" w14:textId="029952F9" w:rsidR="00EA0E47" w:rsidRPr="00C16323" w:rsidRDefault="00EA0E47" w:rsidP="00CE7510">
            <w:pPr>
              <w:pStyle w:val="TableText"/>
              <w:rPr>
                <w:rFonts w:ascii="Gill Sans MT" w:hAnsi="Gill Sans MT" w:cs="Times New Roman"/>
                <w:sz w:val="16"/>
                <w:szCs w:val="20"/>
                <w:highlight w:val="yellow"/>
              </w:rPr>
            </w:pPr>
            <w:r w:rsidRPr="00C16323">
              <w:rPr>
                <w:rFonts w:ascii="Gill Sans MT" w:hAnsi="Gill Sans MT" w:cs="Times New Roman"/>
                <w:sz w:val="16"/>
                <w:szCs w:val="20"/>
              </w:rPr>
              <w:t>Aspiring ECE teachers are formally required to have upper secondary education to be eligible to enter ECE teacher training, while the required qualification is higher for primary-level teachers (Sun, Rao, &amp; Pearson</w:t>
            </w:r>
            <w:r w:rsidR="00810590">
              <w:rPr>
                <w:rFonts w:ascii="Gill Sans MT" w:hAnsi="Gill Sans MT" w:cs="Times New Roman"/>
                <w:sz w:val="16"/>
                <w:szCs w:val="20"/>
              </w:rPr>
              <w:t>,</w:t>
            </w:r>
            <w:r w:rsidRPr="00C16323">
              <w:rPr>
                <w:rFonts w:ascii="Gill Sans MT" w:hAnsi="Gill Sans MT" w:cs="Times New Roman"/>
                <w:sz w:val="16"/>
                <w:szCs w:val="20"/>
              </w:rPr>
              <w:t xml:space="preserve"> 2015).</w:t>
            </w:r>
          </w:p>
        </w:tc>
      </w:tr>
      <w:tr w:rsidR="00EA0E47" w:rsidRPr="00961FD0" w14:paraId="4D89E580" w14:textId="77777777" w:rsidTr="00C16323">
        <w:trPr>
          <w:cantSplit/>
          <w:trHeight w:val="786"/>
        </w:trPr>
        <w:tc>
          <w:tcPr>
            <w:tcW w:w="1287" w:type="dxa"/>
            <w:tcBorders>
              <w:top w:val="single" w:sz="4" w:space="0" w:color="auto"/>
              <w:left w:val="single" w:sz="4" w:space="0" w:color="auto"/>
              <w:bottom w:val="single" w:sz="4" w:space="0" w:color="auto"/>
              <w:right w:val="single" w:sz="4" w:space="0" w:color="auto"/>
            </w:tcBorders>
            <w:hideMark/>
          </w:tcPr>
          <w:p w14:paraId="12D42358" w14:textId="77777777"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Cambodia</w:t>
            </w:r>
          </w:p>
        </w:tc>
        <w:tc>
          <w:tcPr>
            <w:tcW w:w="7863" w:type="dxa"/>
            <w:tcBorders>
              <w:top w:val="single" w:sz="4" w:space="0" w:color="auto"/>
              <w:left w:val="single" w:sz="4" w:space="0" w:color="auto"/>
              <w:bottom w:val="single" w:sz="4" w:space="0" w:color="auto"/>
              <w:right w:val="single" w:sz="4" w:space="0" w:color="auto"/>
            </w:tcBorders>
            <w:hideMark/>
          </w:tcPr>
          <w:p w14:paraId="6F5C9340" w14:textId="02C1D040" w:rsidR="00EA0E47" w:rsidRPr="00C16323" w:rsidRDefault="00EA0E47" w:rsidP="00CE7510">
            <w:pPr>
              <w:pStyle w:val="TableText"/>
              <w:rPr>
                <w:rFonts w:ascii="Gill Sans MT" w:hAnsi="Gill Sans MT"/>
                <w:sz w:val="16"/>
                <w:szCs w:val="20"/>
              </w:rPr>
            </w:pPr>
            <w:r w:rsidRPr="00C16323">
              <w:rPr>
                <w:rFonts w:ascii="Gill Sans MT" w:hAnsi="Gill Sans MT" w:cs="Times New Roman"/>
                <w:sz w:val="16"/>
                <w:szCs w:val="20"/>
              </w:rPr>
              <w:t>Aspiring ECE teachers are formally required to hold an upper secondary degree to be eligible to enter training for service in state pre</w:t>
            </w:r>
            <w:r w:rsidR="00810590">
              <w:rPr>
                <w:rFonts w:ascii="Gill Sans MT" w:hAnsi="Gill Sans MT" w:cs="Times New Roman"/>
                <w:sz w:val="16"/>
                <w:szCs w:val="20"/>
              </w:rPr>
              <w:t>-</w:t>
            </w:r>
            <w:r w:rsidRPr="00C16323">
              <w:rPr>
                <w:rFonts w:ascii="Gill Sans MT" w:hAnsi="Gill Sans MT" w:cs="Times New Roman"/>
                <w:sz w:val="16"/>
                <w:szCs w:val="20"/>
              </w:rPr>
              <w:t>schools. The same qualification is required for primary-level teachers (Sun, Rao, &amp; Pearson</w:t>
            </w:r>
            <w:r w:rsidR="00810590">
              <w:rPr>
                <w:rFonts w:ascii="Gill Sans MT" w:hAnsi="Gill Sans MT" w:cs="Times New Roman"/>
                <w:sz w:val="16"/>
                <w:szCs w:val="20"/>
              </w:rPr>
              <w:t>,</w:t>
            </w:r>
            <w:r w:rsidRPr="00C16323">
              <w:rPr>
                <w:rFonts w:ascii="Gill Sans MT" w:hAnsi="Gill Sans MT" w:cs="Times New Roman"/>
                <w:sz w:val="16"/>
                <w:szCs w:val="20"/>
              </w:rPr>
              <w:t xml:space="preserve"> 2015).</w:t>
            </w:r>
          </w:p>
        </w:tc>
      </w:tr>
      <w:tr w:rsidR="00EA0E47" w:rsidRPr="00961FD0" w14:paraId="648E5420" w14:textId="77777777" w:rsidTr="00C16323">
        <w:trPr>
          <w:cantSplit/>
          <w:trHeight w:val="633"/>
        </w:trPr>
        <w:tc>
          <w:tcPr>
            <w:tcW w:w="1287" w:type="dxa"/>
            <w:tcBorders>
              <w:top w:val="single" w:sz="4" w:space="0" w:color="auto"/>
              <w:left w:val="single" w:sz="4" w:space="0" w:color="auto"/>
              <w:bottom w:val="single" w:sz="4" w:space="0" w:color="auto"/>
              <w:right w:val="single" w:sz="4" w:space="0" w:color="auto"/>
            </w:tcBorders>
            <w:hideMark/>
          </w:tcPr>
          <w:p w14:paraId="3E364507" w14:textId="77777777"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Kyrgyzstan</w:t>
            </w:r>
          </w:p>
        </w:tc>
        <w:tc>
          <w:tcPr>
            <w:tcW w:w="7863" w:type="dxa"/>
            <w:tcBorders>
              <w:top w:val="single" w:sz="4" w:space="0" w:color="auto"/>
              <w:left w:val="single" w:sz="4" w:space="0" w:color="auto"/>
              <w:bottom w:val="single" w:sz="4" w:space="0" w:color="auto"/>
              <w:right w:val="single" w:sz="4" w:space="0" w:color="auto"/>
            </w:tcBorders>
          </w:tcPr>
          <w:p w14:paraId="4302FC1A" w14:textId="680193BE"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 xml:space="preserve">State </w:t>
            </w:r>
            <w:r w:rsidR="00810590">
              <w:rPr>
                <w:rFonts w:ascii="Gill Sans MT" w:hAnsi="Gill Sans MT"/>
                <w:sz w:val="16"/>
                <w:szCs w:val="20"/>
              </w:rPr>
              <w:t>p</w:t>
            </w:r>
            <w:r w:rsidR="00810590" w:rsidRPr="00C16323">
              <w:rPr>
                <w:rFonts w:ascii="Gill Sans MT" w:hAnsi="Gill Sans MT"/>
                <w:sz w:val="16"/>
                <w:szCs w:val="20"/>
              </w:rPr>
              <w:t>re</w:t>
            </w:r>
            <w:r w:rsidR="00810590">
              <w:rPr>
                <w:rFonts w:ascii="Gill Sans MT" w:hAnsi="Gill Sans MT"/>
                <w:sz w:val="16"/>
                <w:szCs w:val="20"/>
              </w:rPr>
              <w:t>-</w:t>
            </w:r>
            <w:r w:rsidR="00810590" w:rsidRPr="00C16323">
              <w:rPr>
                <w:rFonts w:ascii="Gill Sans MT" w:hAnsi="Gill Sans MT"/>
                <w:sz w:val="16"/>
                <w:szCs w:val="20"/>
              </w:rPr>
              <w:t xml:space="preserve">school </w:t>
            </w:r>
            <w:r w:rsidRPr="00C16323">
              <w:rPr>
                <w:rFonts w:ascii="Gill Sans MT" w:hAnsi="Gill Sans MT"/>
                <w:sz w:val="16"/>
                <w:szCs w:val="20"/>
              </w:rPr>
              <w:t xml:space="preserve">teachers </w:t>
            </w:r>
            <w:r w:rsidR="00810590">
              <w:rPr>
                <w:rFonts w:ascii="Gill Sans MT" w:hAnsi="Gill Sans MT"/>
                <w:sz w:val="16"/>
                <w:szCs w:val="20"/>
              </w:rPr>
              <w:t xml:space="preserve">are </w:t>
            </w:r>
            <w:r w:rsidRPr="00C16323">
              <w:rPr>
                <w:rFonts w:ascii="Gill Sans MT" w:hAnsi="Gill Sans MT"/>
                <w:sz w:val="16"/>
                <w:szCs w:val="20"/>
              </w:rPr>
              <w:t xml:space="preserve">required to have </w:t>
            </w:r>
            <w:r w:rsidR="00810590">
              <w:rPr>
                <w:rFonts w:ascii="Gill Sans MT" w:hAnsi="Gill Sans MT"/>
                <w:sz w:val="16"/>
                <w:szCs w:val="20"/>
              </w:rPr>
              <w:t>4</w:t>
            </w:r>
            <w:r w:rsidRPr="00C16323">
              <w:rPr>
                <w:rFonts w:ascii="Gill Sans MT" w:hAnsi="Gill Sans MT"/>
                <w:sz w:val="16"/>
                <w:szCs w:val="20"/>
              </w:rPr>
              <w:t>-year</w:t>
            </w:r>
            <w:r w:rsidR="00797ECC">
              <w:rPr>
                <w:rFonts w:ascii="Gill Sans MT" w:hAnsi="Gill Sans MT"/>
                <w:sz w:val="16"/>
                <w:szCs w:val="20"/>
              </w:rPr>
              <w:t xml:space="preserve">s of </w:t>
            </w:r>
            <w:r w:rsidRPr="00C16323">
              <w:rPr>
                <w:rFonts w:ascii="Gill Sans MT" w:hAnsi="Gill Sans MT"/>
                <w:sz w:val="16"/>
                <w:szCs w:val="20"/>
              </w:rPr>
              <w:t>post-secondary education including pedagogical practice, and in-service training at least once every 5 years. Other types of programs have shorter requirements</w:t>
            </w:r>
            <w:r w:rsidR="0070754E">
              <w:rPr>
                <w:rFonts w:ascii="Gill Sans MT" w:hAnsi="Gill Sans MT"/>
                <w:sz w:val="16"/>
                <w:szCs w:val="20"/>
              </w:rPr>
              <w:t>, according to t</w:t>
            </w:r>
            <w:r w:rsidR="00810590" w:rsidRPr="00797ECC">
              <w:rPr>
                <w:rFonts w:ascii="Gill Sans MT" w:hAnsi="Gill Sans MT"/>
                <w:sz w:val="16"/>
                <w:szCs w:val="20"/>
              </w:rPr>
              <w:t xml:space="preserve">he World Bank Systems Approach for Better Education Results </w:t>
            </w:r>
            <w:r w:rsidR="0070754E">
              <w:rPr>
                <w:rFonts w:ascii="Gill Sans MT" w:hAnsi="Gill Sans MT"/>
                <w:sz w:val="16"/>
                <w:szCs w:val="20"/>
              </w:rPr>
              <w:t>(</w:t>
            </w:r>
            <w:r w:rsidR="00810590" w:rsidRPr="00797ECC">
              <w:rPr>
                <w:rFonts w:ascii="Gill Sans MT" w:hAnsi="Gill Sans MT"/>
                <w:sz w:val="16"/>
                <w:szCs w:val="20"/>
              </w:rPr>
              <w:t>SABER</w:t>
            </w:r>
            <w:r w:rsidR="0070754E">
              <w:rPr>
                <w:rFonts w:ascii="Gill Sans MT" w:hAnsi="Gill Sans MT"/>
                <w:sz w:val="16"/>
                <w:szCs w:val="20"/>
              </w:rPr>
              <w:t>) (SABER</w:t>
            </w:r>
            <w:r w:rsidR="00810590">
              <w:rPr>
                <w:rFonts w:ascii="Gill Sans MT" w:hAnsi="Gill Sans MT"/>
                <w:sz w:val="16"/>
                <w:szCs w:val="20"/>
              </w:rPr>
              <w:t xml:space="preserve">, </w:t>
            </w:r>
            <w:r w:rsidRPr="00C16323">
              <w:rPr>
                <w:rFonts w:ascii="Gill Sans MT" w:hAnsi="Gill Sans MT"/>
                <w:sz w:val="16"/>
                <w:szCs w:val="20"/>
              </w:rPr>
              <w:t>2013a)</w:t>
            </w:r>
            <w:r w:rsidR="00810590">
              <w:rPr>
                <w:rFonts w:ascii="Gill Sans MT" w:hAnsi="Gill Sans MT"/>
                <w:sz w:val="16"/>
                <w:szCs w:val="20"/>
              </w:rPr>
              <w:t>.</w:t>
            </w:r>
          </w:p>
        </w:tc>
      </w:tr>
      <w:tr w:rsidR="00EA0E47" w:rsidRPr="00961FD0" w14:paraId="761DB3F3" w14:textId="77777777" w:rsidTr="00C16323">
        <w:trPr>
          <w:cantSplit/>
          <w:trHeight w:val="615"/>
        </w:trPr>
        <w:tc>
          <w:tcPr>
            <w:tcW w:w="1287" w:type="dxa"/>
            <w:tcBorders>
              <w:top w:val="single" w:sz="4" w:space="0" w:color="auto"/>
              <w:left w:val="single" w:sz="4" w:space="0" w:color="auto"/>
              <w:bottom w:val="single" w:sz="4" w:space="0" w:color="auto"/>
              <w:right w:val="single" w:sz="4" w:space="0" w:color="auto"/>
            </w:tcBorders>
            <w:hideMark/>
          </w:tcPr>
          <w:p w14:paraId="433E31EE" w14:textId="77777777"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Lao PDR</w:t>
            </w:r>
          </w:p>
        </w:tc>
        <w:tc>
          <w:tcPr>
            <w:tcW w:w="7863" w:type="dxa"/>
            <w:tcBorders>
              <w:top w:val="single" w:sz="4" w:space="0" w:color="auto"/>
              <w:left w:val="single" w:sz="4" w:space="0" w:color="auto"/>
              <w:bottom w:val="single" w:sz="4" w:space="0" w:color="auto"/>
              <w:right w:val="single" w:sz="4" w:space="0" w:color="auto"/>
            </w:tcBorders>
            <w:hideMark/>
          </w:tcPr>
          <w:p w14:paraId="440E5D4A" w14:textId="486FF66F" w:rsidR="00EA0E47" w:rsidRPr="00C16323" w:rsidRDefault="00EA0E47" w:rsidP="00CE7510">
            <w:pPr>
              <w:pStyle w:val="TableText"/>
              <w:rPr>
                <w:rFonts w:ascii="Gill Sans MT" w:hAnsi="Gill Sans MT"/>
                <w:sz w:val="16"/>
                <w:szCs w:val="20"/>
              </w:rPr>
            </w:pPr>
            <w:r w:rsidRPr="00C16323">
              <w:rPr>
                <w:rFonts w:ascii="Gill Sans MT" w:hAnsi="Gill Sans MT" w:cs="Times New Roman"/>
                <w:sz w:val="16"/>
                <w:szCs w:val="20"/>
              </w:rPr>
              <w:t>Aspiring ECE teachers are formally required to have some secondary or technical education to be eligible to enter ECE teacher training. The same qualification is required for primary-level teachers (Sun, Rao, &amp; Pearson</w:t>
            </w:r>
            <w:r w:rsidR="00810590">
              <w:rPr>
                <w:rFonts w:ascii="Gill Sans MT" w:hAnsi="Gill Sans MT" w:cs="Times New Roman"/>
                <w:sz w:val="16"/>
                <w:szCs w:val="20"/>
              </w:rPr>
              <w:t>,</w:t>
            </w:r>
            <w:r w:rsidRPr="00C16323">
              <w:rPr>
                <w:rFonts w:ascii="Gill Sans MT" w:hAnsi="Gill Sans MT" w:cs="Times New Roman"/>
                <w:sz w:val="16"/>
                <w:szCs w:val="20"/>
              </w:rPr>
              <w:t xml:space="preserve"> 2015).</w:t>
            </w:r>
          </w:p>
        </w:tc>
      </w:tr>
      <w:tr w:rsidR="00EA0E47" w:rsidRPr="00961FD0" w14:paraId="1F64248C" w14:textId="77777777" w:rsidTr="00C16323">
        <w:trPr>
          <w:cantSplit/>
          <w:trHeight w:val="525"/>
        </w:trPr>
        <w:tc>
          <w:tcPr>
            <w:tcW w:w="1287" w:type="dxa"/>
            <w:tcBorders>
              <w:top w:val="single" w:sz="4" w:space="0" w:color="auto"/>
              <w:left w:val="single" w:sz="4" w:space="0" w:color="auto"/>
              <w:bottom w:val="single" w:sz="4" w:space="0" w:color="auto"/>
              <w:right w:val="single" w:sz="4" w:space="0" w:color="auto"/>
            </w:tcBorders>
            <w:hideMark/>
          </w:tcPr>
          <w:p w14:paraId="6C8D69D6" w14:textId="77777777"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lastRenderedPageBreak/>
              <w:t>Nepal</w:t>
            </w:r>
          </w:p>
        </w:tc>
        <w:tc>
          <w:tcPr>
            <w:tcW w:w="7863" w:type="dxa"/>
            <w:tcBorders>
              <w:top w:val="single" w:sz="4" w:space="0" w:color="auto"/>
              <w:left w:val="single" w:sz="4" w:space="0" w:color="auto"/>
              <w:bottom w:val="single" w:sz="4" w:space="0" w:color="auto"/>
              <w:right w:val="single" w:sz="4" w:space="0" w:color="auto"/>
            </w:tcBorders>
            <w:hideMark/>
          </w:tcPr>
          <w:p w14:paraId="08221AA0" w14:textId="69AEB90F" w:rsidR="00EA0E47" w:rsidRPr="00C16323" w:rsidRDefault="00810590" w:rsidP="00CE7510">
            <w:pPr>
              <w:pStyle w:val="TableText"/>
              <w:rPr>
                <w:rFonts w:ascii="Gill Sans MT" w:hAnsi="Gill Sans MT"/>
                <w:sz w:val="16"/>
                <w:szCs w:val="20"/>
              </w:rPr>
            </w:pPr>
            <w:r>
              <w:rPr>
                <w:rFonts w:ascii="Gill Sans MT" w:hAnsi="Gill Sans MT" w:cs="Times New Roman"/>
                <w:sz w:val="16"/>
                <w:szCs w:val="20"/>
              </w:rPr>
              <w:t>National p</w:t>
            </w:r>
            <w:r w:rsidRPr="00C16323">
              <w:rPr>
                <w:rFonts w:ascii="Gill Sans MT" w:hAnsi="Gill Sans MT" w:cs="Times New Roman"/>
                <w:sz w:val="16"/>
                <w:szCs w:val="20"/>
              </w:rPr>
              <w:t xml:space="preserve">olicy </w:t>
            </w:r>
            <w:r w:rsidR="00EA0E47" w:rsidRPr="00C16323">
              <w:rPr>
                <w:rFonts w:ascii="Gill Sans MT" w:hAnsi="Gill Sans MT" w:cs="Times New Roman"/>
                <w:sz w:val="16"/>
                <w:szCs w:val="20"/>
              </w:rPr>
              <w:t>lays out standards for ECE teachers: Grade 9 or 10 or higher, as well as in-service training (SABER 2013b)</w:t>
            </w:r>
            <w:r>
              <w:rPr>
                <w:rFonts w:ascii="Gill Sans MT" w:hAnsi="Gill Sans MT" w:cs="Times New Roman"/>
                <w:sz w:val="16"/>
                <w:szCs w:val="20"/>
              </w:rPr>
              <w:t>.</w:t>
            </w:r>
          </w:p>
        </w:tc>
      </w:tr>
      <w:tr w:rsidR="00EA0E47" w:rsidRPr="00961FD0" w14:paraId="496CD6FE" w14:textId="77777777" w:rsidTr="00C16323">
        <w:trPr>
          <w:cantSplit/>
          <w:trHeight w:val="588"/>
        </w:trPr>
        <w:tc>
          <w:tcPr>
            <w:tcW w:w="1287" w:type="dxa"/>
            <w:tcBorders>
              <w:top w:val="single" w:sz="4" w:space="0" w:color="auto"/>
              <w:left w:val="single" w:sz="4" w:space="0" w:color="auto"/>
              <w:bottom w:val="single" w:sz="4" w:space="0" w:color="auto"/>
              <w:right w:val="single" w:sz="4" w:space="0" w:color="auto"/>
            </w:tcBorders>
            <w:hideMark/>
          </w:tcPr>
          <w:p w14:paraId="5FDAE014" w14:textId="77777777" w:rsidR="00EA0E47" w:rsidRPr="00C16323" w:rsidRDefault="00EA0E47" w:rsidP="00CE7510">
            <w:pPr>
              <w:pStyle w:val="TableText"/>
              <w:rPr>
                <w:rFonts w:ascii="Gill Sans MT" w:hAnsi="Gill Sans MT"/>
                <w:sz w:val="16"/>
                <w:szCs w:val="20"/>
              </w:rPr>
            </w:pPr>
            <w:r w:rsidRPr="00C16323">
              <w:rPr>
                <w:rFonts w:ascii="Gill Sans MT" w:hAnsi="Gill Sans MT"/>
                <w:sz w:val="16"/>
                <w:szCs w:val="20"/>
              </w:rPr>
              <w:t>Philippines</w:t>
            </w:r>
          </w:p>
        </w:tc>
        <w:tc>
          <w:tcPr>
            <w:tcW w:w="7863" w:type="dxa"/>
            <w:tcBorders>
              <w:top w:val="single" w:sz="4" w:space="0" w:color="auto"/>
              <w:left w:val="single" w:sz="4" w:space="0" w:color="auto"/>
              <w:bottom w:val="single" w:sz="4" w:space="0" w:color="auto"/>
              <w:right w:val="single" w:sz="4" w:space="0" w:color="auto"/>
            </w:tcBorders>
            <w:hideMark/>
          </w:tcPr>
          <w:p w14:paraId="6AD35B92" w14:textId="6EFE6237" w:rsidR="00EA0E47" w:rsidRPr="00C16323" w:rsidRDefault="00EA0E47" w:rsidP="00CE7510">
            <w:pPr>
              <w:pStyle w:val="TableText"/>
              <w:rPr>
                <w:rFonts w:ascii="Gill Sans MT" w:hAnsi="Gill Sans MT"/>
                <w:sz w:val="16"/>
                <w:szCs w:val="20"/>
              </w:rPr>
            </w:pPr>
            <w:r w:rsidRPr="00C16323">
              <w:rPr>
                <w:rFonts w:ascii="Gill Sans MT" w:hAnsi="Gill Sans MT" w:cs="Times New Roman"/>
                <w:sz w:val="16"/>
                <w:szCs w:val="20"/>
              </w:rPr>
              <w:t xml:space="preserve">ECE teachers are licensed only upon passing a </w:t>
            </w:r>
            <w:r w:rsidR="00810590">
              <w:rPr>
                <w:rFonts w:ascii="Gill Sans MT" w:hAnsi="Gill Sans MT" w:cs="Times New Roman"/>
                <w:sz w:val="16"/>
                <w:szCs w:val="20"/>
              </w:rPr>
              <w:t>l</w:t>
            </w:r>
            <w:r w:rsidR="00810590" w:rsidRPr="00C16323">
              <w:rPr>
                <w:rFonts w:ascii="Gill Sans MT" w:hAnsi="Gill Sans MT" w:cs="Times New Roman"/>
                <w:sz w:val="16"/>
                <w:szCs w:val="20"/>
              </w:rPr>
              <w:t xml:space="preserve">icensure </w:t>
            </w:r>
            <w:r w:rsidRPr="00C16323">
              <w:rPr>
                <w:rFonts w:ascii="Gill Sans MT" w:hAnsi="Gill Sans MT" w:cs="Times New Roman"/>
                <w:sz w:val="16"/>
                <w:szCs w:val="20"/>
              </w:rPr>
              <w:t>examination administered by the national-level Professional Regulation Commission (SEAMEO &amp; UNESCO</w:t>
            </w:r>
            <w:r w:rsidR="00810590">
              <w:rPr>
                <w:rFonts w:ascii="Gill Sans MT" w:hAnsi="Gill Sans MT" w:cs="Times New Roman"/>
                <w:sz w:val="16"/>
                <w:szCs w:val="20"/>
              </w:rPr>
              <w:t>,</w:t>
            </w:r>
            <w:r w:rsidRPr="00C16323">
              <w:rPr>
                <w:rFonts w:ascii="Gill Sans MT" w:hAnsi="Gill Sans MT" w:cs="Times New Roman"/>
                <w:sz w:val="16"/>
                <w:szCs w:val="20"/>
              </w:rPr>
              <w:t xml:space="preserve"> 2016)</w:t>
            </w:r>
            <w:r w:rsidR="00BC484F">
              <w:rPr>
                <w:rFonts w:ascii="Gill Sans MT" w:hAnsi="Gill Sans MT" w:cs="Times New Roman"/>
                <w:sz w:val="16"/>
                <w:szCs w:val="20"/>
              </w:rPr>
              <w:t>.</w:t>
            </w:r>
          </w:p>
        </w:tc>
      </w:tr>
    </w:tbl>
    <w:p w14:paraId="33514E24" w14:textId="77777777" w:rsidR="0008229E" w:rsidRPr="0008229E" w:rsidRDefault="00EA0E47" w:rsidP="0008229E">
      <w:pPr>
        <w:pStyle w:val="Heading2"/>
      </w:pPr>
      <w:r w:rsidRPr="00EA0E47">
        <w:t>Southeast Asia Guidelines for Early Childhood Teacher Development and Management</w:t>
      </w:r>
    </w:p>
    <w:p w14:paraId="5F297661" w14:textId="648F00B1" w:rsidR="00EA7E1A" w:rsidRPr="00F56C08" w:rsidRDefault="00EA0E47" w:rsidP="00EA7E1A">
      <w:r w:rsidRPr="00EA0E47">
        <w:t xml:space="preserve">The </w:t>
      </w:r>
      <w:r w:rsidRPr="00797ECC">
        <w:rPr>
          <w:i/>
        </w:rPr>
        <w:t>Southeast Asia Guidelines for Early Childhood Teacher Development and Management</w:t>
      </w:r>
      <w:r w:rsidRPr="00EA0E47">
        <w:t xml:space="preserve"> </w:t>
      </w:r>
      <w:r w:rsidR="0070754E">
        <w:t>published by the South East Asian Ministers of Education Organization (SEAMEO) and UNESCO (</w:t>
      </w:r>
      <w:r w:rsidRPr="00EA0E47">
        <w:t>2016) offer 22 core recommendations with explanation</w:t>
      </w:r>
      <w:r w:rsidR="0070754E">
        <w:t>s</w:t>
      </w:r>
      <w:r w:rsidRPr="00EA0E47">
        <w:t xml:space="preserve"> and examples to address issues of teachers' qualifications and standards, recruitment, education and continuous professional development, fair employment terms, and governance and funding. These guidelines</w:t>
      </w:r>
      <w:r>
        <w:t xml:space="preserve"> were </w:t>
      </w:r>
      <w:r w:rsidRPr="00EA0E47">
        <w:t xml:space="preserve">adopted by </w:t>
      </w:r>
      <w:r w:rsidR="0070754E">
        <w:t>m</w:t>
      </w:r>
      <w:r w:rsidR="0070754E" w:rsidRPr="00EA0E47">
        <w:t xml:space="preserve">inisters </w:t>
      </w:r>
      <w:r w:rsidRPr="00EA0E47">
        <w:t xml:space="preserve">of </w:t>
      </w:r>
      <w:r w:rsidR="0070754E">
        <w:t>e</w:t>
      </w:r>
      <w:r w:rsidR="0070754E" w:rsidRPr="00EA0E47">
        <w:t xml:space="preserve">ducation </w:t>
      </w:r>
      <w:r w:rsidRPr="00EA0E47">
        <w:t>from all SEAMEO countries in 2016</w:t>
      </w:r>
      <w:r w:rsidR="00405B27">
        <w:t xml:space="preserve">. </w:t>
      </w:r>
      <w:r w:rsidR="00405B27" w:rsidRPr="00405B27">
        <w:t xml:space="preserve">Development of an </w:t>
      </w:r>
      <w:r w:rsidR="0070754E">
        <w:t>early childhood care and education (</w:t>
      </w:r>
      <w:r w:rsidR="00405B27" w:rsidRPr="00405B27">
        <w:t>ECCE</w:t>
      </w:r>
      <w:r w:rsidR="0070754E">
        <w:t>)</w:t>
      </w:r>
      <w:r w:rsidR="00405B27" w:rsidRPr="00405B27">
        <w:t xml:space="preserve"> teacher competency framework for Southeast Asia was supported by UNESCO as part of its work in pursuing </w:t>
      </w:r>
      <w:r w:rsidR="0070754E">
        <w:t xml:space="preserve">Sustainable Development Goal </w:t>
      </w:r>
      <w:r w:rsidR="0070754E" w:rsidRPr="00405B27">
        <w:t>4</w:t>
      </w:r>
      <w:r w:rsidR="00405B27" w:rsidRPr="00405B27">
        <w:t>.2</w:t>
      </w:r>
      <w:r w:rsidR="00405B27">
        <w:t xml:space="preserve">, but </w:t>
      </w:r>
      <w:r w:rsidR="00405B27" w:rsidRPr="00405B27">
        <w:t xml:space="preserve">the framework </w:t>
      </w:r>
      <w:r w:rsidR="0070754E">
        <w:t>has</w:t>
      </w:r>
      <w:r w:rsidR="0070754E" w:rsidRPr="00405B27">
        <w:t xml:space="preserve"> </w:t>
      </w:r>
      <w:r w:rsidR="00405B27" w:rsidRPr="00405B27">
        <w:t xml:space="preserve">not yet </w:t>
      </w:r>
      <w:r w:rsidR="0070754E">
        <w:t xml:space="preserve">been </w:t>
      </w:r>
      <w:r w:rsidR="00405B27" w:rsidRPr="00405B27">
        <w:t>endorsed formally by SEAMEO member countries (UNESCO &amp; SEAMEO</w:t>
      </w:r>
      <w:r w:rsidR="0027708E">
        <w:t>,</w:t>
      </w:r>
      <w:r w:rsidR="00405B27" w:rsidRPr="00405B27">
        <w:t xml:space="preserve"> 2018).</w:t>
      </w:r>
      <w:r w:rsidR="00405B27">
        <w:t xml:space="preserve"> The domains and core competencies of the framework can be seen in the table below. </w:t>
      </w:r>
    </w:p>
    <w:tbl>
      <w:tblPr>
        <w:tblStyle w:val="TableGrid"/>
        <w:tblW w:w="0" w:type="auto"/>
        <w:tblLook w:val="04A0" w:firstRow="1" w:lastRow="0" w:firstColumn="1" w:lastColumn="0" w:noHBand="0" w:noVBand="1"/>
      </w:tblPr>
      <w:tblGrid>
        <w:gridCol w:w="9340"/>
        <w:gridCol w:w="10"/>
      </w:tblGrid>
      <w:tr w:rsidR="00EA7E1A" w:rsidRPr="00C16323" w14:paraId="2124541C" w14:textId="77777777" w:rsidTr="00EA7E1A">
        <w:trPr>
          <w:gridAfter w:val="1"/>
          <w:wAfter w:w="10" w:type="dxa"/>
          <w:trHeight w:val="128"/>
        </w:trPr>
        <w:tc>
          <w:tcPr>
            <w:tcW w:w="9350" w:type="dxa"/>
            <w:tcMar>
              <w:top w:w="43" w:type="dxa"/>
              <w:left w:w="72" w:type="dxa"/>
              <w:bottom w:w="43" w:type="dxa"/>
              <w:right w:w="72" w:type="dxa"/>
            </w:tcMar>
            <w:vAlign w:val="bottom"/>
          </w:tcPr>
          <w:p w14:paraId="66713C54" w14:textId="5D1A6A54" w:rsidR="00EA7E1A" w:rsidRPr="00EA7E1A" w:rsidRDefault="00EA7E1A" w:rsidP="00EA7E1A">
            <w:pPr>
              <w:pStyle w:val="BriefText"/>
              <w:rPr>
                <w:rFonts w:eastAsia="Times New Roman" w:cs="Times New Roman"/>
                <w:b/>
                <w:sz w:val="18"/>
              </w:rPr>
            </w:pPr>
            <w:r w:rsidRPr="00EA7E1A">
              <w:rPr>
                <w:b/>
                <w:sz w:val="18"/>
              </w:rPr>
              <w:t xml:space="preserve">Domains and </w:t>
            </w:r>
            <w:r w:rsidR="0070754E" w:rsidRPr="00EA7E1A">
              <w:rPr>
                <w:b/>
                <w:sz w:val="18"/>
              </w:rPr>
              <w:t xml:space="preserve">Core Competencies </w:t>
            </w:r>
            <w:r w:rsidRPr="00EA7E1A">
              <w:rPr>
                <w:b/>
                <w:sz w:val="18"/>
              </w:rPr>
              <w:t>of the ECCE Teacher Competency Framework for Southeast Asia</w:t>
            </w:r>
            <w:r w:rsidR="0070754E">
              <w:rPr>
                <w:b/>
                <w:sz w:val="18"/>
              </w:rPr>
              <w:t>*</w:t>
            </w:r>
            <w:r w:rsidRPr="00EA7E1A">
              <w:rPr>
                <w:b/>
                <w:sz w:val="18"/>
              </w:rPr>
              <w:t xml:space="preserve"> </w:t>
            </w:r>
          </w:p>
        </w:tc>
      </w:tr>
      <w:tr w:rsidR="00C16323" w:rsidRPr="00EA7E1A" w14:paraId="5822518F" w14:textId="77777777" w:rsidTr="00EA7E1A">
        <w:trPr>
          <w:gridAfter w:val="1"/>
          <w:wAfter w:w="10" w:type="dxa"/>
          <w:trHeight w:val="128"/>
        </w:trPr>
        <w:tc>
          <w:tcPr>
            <w:tcW w:w="9350" w:type="dxa"/>
            <w:shd w:val="clear" w:color="auto" w:fill="002060"/>
            <w:tcMar>
              <w:top w:w="43" w:type="dxa"/>
              <w:left w:w="72" w:type="dxa"/>
              <w:bottom w:w="43" w:type="dxa"/>
              <w:right w:w="72" w:type="dxa"/>
            </w:tcMar>
            <w:vAlign w:val="bottom"/>
          </w:tcPr>
          <w:p w14:paraId="7ECB4BA7" w14:textId="5579AEEE" w:rsidR="00C16323" w:rsidRPr="00EA7E1A" w:rsidRDefault="00C16323" w:rsidP="00C16323">
            <w:pPr>
              <w:spacing w:after="0"/>
              <w:rPr>
                <w:rFonts w:eastAsia="Times New Roman" w:cs="Arial"/>
                <w:b/>
                <w:color w:val="FFFFFF" w:themeColor="background1"/>
                <w:sz w:val="16"/>
              </w:rPr>
            </w:pPr>
            <w:r w:rsidRPr="00EA7E1A">
              <w:rPr>
                <w:rFonts w:eastAsia="Times New Roman" w:cs="Arial"/>
                <w:b/>
                <w:bCs/>
                <w:color w:val="FFFFFF" w:themeColor="background1"/>
                <w:sz w:val="16"/>
              </w:rPr>
              <w:t>Content knowledge, pedagogic practice, and assessment domain</w:t>
            </w:r>
          </w:p>
        </w:tc>
      </w:tr>
      <w:tr w:rsidR="00C16323" w:rsidRPr="005B79F5" w14:paraId="2738ABD6" w14:textId="77777777" w:rsidTr="00EA7E1A">
        <w:trPr>
          <w:trHeight w:val="1675"/>
        </w:trPr>
        <w:tc>
          <w:tcPr>
            <w:tcW w:w="9360" w:type="dxa"/>
            <w:gridSpan w:val="2"/>
            <w:tcMar>
              <w:top w:w="43" w:type="dxa"/>
              <w:left w:w="72" w:type="dxa"/>
              <w:bottom w:w="43" w:type="dxa"/>
              <w:right w:w="72" w:type="dxa"/>
            </w:tcMar>
          </w:tcPr>
          <w:p w14:paraId="430CC4FF" w14:textId="77777777" w:rsidR="00C16323" w:rsidRPr="00EA7E1A" w:rsidRDefault="00C16323" w:rsidP="00C16323">
            <w:pPr>
              <w:rPr>
                <w:rFonts w:eastAsia="Times New Roman" w:cs="Arial"/>
                <w:color w:val="auto"/>
                <w:sz w:val="16"/>
              </w:rPr>
            </w:pPr>
            <w:r w:rsidRPr="00EA7E1A">
              <w:rPr>
                <w:rFonts w:eastAsia="Times New Roman" w:cs="Arial"/>
                <w:color w:val="auto"/>
                <w:sz w:val="16"/>
              </w:rPr>
              <w:t>Core competency 1. Understands the child’s holistic development and learning. These are competencies related to ECCE teachers’ theoretical and practice-based knowledge and understanding of child development and learning.</w:t>
            </w:r>
          </w:p>
          <w:p w14:paraId="572AFCFF" w14:textId="599695DA" w:rsidR="00C16323" w:rsidRPr="00EA7E1A" w:rsidRDefault="00C16323" w:rsidP="00C16323">
            <w:pPr>
              <w:spacing w:after="0"/>
              <w:rPr>
                <w:rFonts w:eastAsia="Times New Roman" w:cs="Arial"/>
                <w:color w:val="auto"/>
                <w:sz w:val="16"/>
              </w:rPr>
            </w:pPr>
            <w:r w:rsidRPr="00EA7E1A">
              <w:rPr>
                <w:rFonts w:eastAsia="Times New Roman" w:cs="Arial"/>
                <w:color w:val="auto"/>
                <w:sz w:val="16"/>
              </w:rPr>
              <w:t>Core competency 2. Facilitates child development and learning. These are competencies related to ECCE teachers’ strategies to facilitate child development and learning, including the use of assessment tools, techniques, and results to support child development and learning.</w:t>
            </w:r>
          </w:p>
        </w:tc>
      </w:tr>
      <w:tr w:rsidR="00C16323" w:rsidRPr="005B79F5" w14:paraId="124675B9" w14:textId="77777777" w:rsidTr="00EA7E1A">
        <w:trPr>
          <w:trHeight w:val="281"/>
        </w:trPr>
        <w:tc>
          <w:tcPr>
            <w:tcW w:w="9360" w:type="dxa"/>
            <w:gridSpan w:val="2"/>
            <w:shd w:val="clear" w:color="auto" w:fill="002060"/>
            <w:tcMar>
              <w:top w:w="43" w:type="dxa"/>
              <w:left w:w="72" w:type="dxa"/>
              <w:bottom w:w="43" w:type="dxa"/>
              <w:right w:w="72" w:type="dxa"/>
            </w:tcMar>
            <w:vAlign w:val="bottom"/>
          </w:tcPr>
          <w:p w14:paraId="2069B4B6" w14:textId="3988F9D5" w:rsidR="00C16323" w:rsidRPr="00EA7E1A" w:rsidRDefault="00C16323" w:rsidP="00C16323">
            <w:pPr>
              <w:spacing w:after="0"/>
              <w:rPr>
                <w:rFonts w:eastAsia="Times New Roman" w:cs="Arial"/>
                <w:b/>
                <w:color w:val="FFFFFF" w:themeColor="background1"/>
                <w:sz w:val="16"/>
              </w:rPr>
            </w:pPr>
            <w:r w:rsidRPr="00EA7E1A">
              <w:rPr>
                <w:rFonts w:eastAsia="Times New Roman" w:cs="Arial"/>
                <w:b/>
                <w:bCs/>
                <w:color w:val="FFFFFF" w:themeColor="background1"/>
                <w:sz w:val="16"/>
              </w:rPr>
              <w:t>Learning environment domain</w:t>
            </w:r>
          </w:p>
        </w:tc>
      </w:tr>
      <w:tr w:rsidR="00C16323" w:rsidRPr="005B79F5" w14:paraId="30CF5DD3" w14:textId="77777777" w:rsidTr="00EA7E1A">
        <w:trPr>
          <w:trHeight w:val="947"/>
        </w:trPr>
        <w:tc>
          <w:tcPr>
            <w:tcW w:w="9360" w:type="dxa"/>
            <w:gridSpan w:val="2"/>
            <w:tcMar>
              <w:top w:w="43" w:type="dxa"/>
              <w:left w:w="72" w:type="dxa"/>
              <w:bottom w:w="43" w:type="dxa"/>
              <w:right w:w="72" w:type="dxa"/>
            </w:tcMar>
          </w:tcPr>
          <w:p w14:paraId="48B651CC" w14:textId="77777777" w:rsidR="00C16323" w:rsidRPr="00EA7E1A" w:rsidRDefault="00C16323" w:rsidP="00C16323">
            <w:pPr>
              <w:rPr>
                <w:rFonts w:eastAsia="Times New Roman" w:cs="Arial"/>
                <w:color w:val="auto"/>
                <w:sz w:val="16"/>
              </w:rPr>
            </w:pPr>
            <w:r w:rsidRPr="00EA7E1A">
              <w:rPr>
                <w:rFonts w:eastAsia="Times New Roman" w:cs="Arial"/>
                <w:color w:val="auto"/>
                <w:sz w:val="16"/>
              </w:rPr>
              <w:t xml:space="preserve">Core competency 3. Establishes a nurturing, inclusive, and safe environment. Includes competencies related to how teachers create environments conducive for children. </w:t>
            </w:r>
          </w:p>
          <w:p w14:paraId="3B2C6299" w14:textId="4C626249" w:rsidR="00C16323" w:rsidRPr="00EA7E1A" w:rsidRDefault="00C16323" w:rsidP="00C16323">
            <w:pPr>
              <w:spacing w:before="120" w:after="0"/>
              <w:rPr>
                <w:rFonts w:eastAsia="Times New Roman" w:cs="Arial"/>
                <w:color w:val="FFFFFF" w:themeColor="background1"/>
                <w:sz w:val="16"/>
              </w:rPr>
            </w:pPr>
            <w:r w:rsidRPr="00EA7E1A">
              <w:rPr>
                <w:rFonts w:eastAsia="Times New Roman" w:cs="Arial"/>
                <w:color w:val="auto"/>
                <w:sz w:val="16"/>
              </w:rPr>
              <w:t>Core competency 4. Promotes health, nutrition, safety, and protection. Competencies related to strategies and practices to ensure that the child’s health, nutrition, safety, and protection needs are addressed.</w:t>
            </w:r>
          </w:p>
        </w:tc>
      </w:tr>
      <w:tr w:rsidR="00C16323" w:rsidRPr="005B79F5" w14:paraId="1C6B9C66" w14:textId="77777777" w:rsidTr="00EA7E1A">
        <w:trPr>
          <w:trHeight w:val="335"/>
        </w:trPr>
        <w:tc>
          <w:tcPr>
            <w:tcW w:w="9360" w:type="dxa"/>
            <w:gridSpan w:val="2"/>
            <w:shd w:val="clear" w:color="auto" w:fill="002060"/>
            <w:tcMar>
              <w:top w:w="43" w:type="dxa"/>
              <w:left w:w="72" w:type="dxa"/>
              <w:bottom w:w="43" w:type="dxa"/>
              <w:right w:w="72" w:type="dxa"/>
            </w:tcMar>
          </w:tcPr>
          <w:p w14:paraId="37142F69" w14:textId="21835125" w:rsidR="00C16323" w:rsidRPr="00EA7E1A" w:rsidRDefault="00C16323" w:rsidP="00EA7E1A">
            <w:pPr>
              <w:spacing w:after="0"/>
              <w:rPr>
                <w:rFonts w:eastAsia="Times New Roman" w:cs="Arial"/>
                <w:b/>
                <w:color w:val="FFFFFF" w:themeColor="background1"/>
                <w:sz w:val="16"/>
              </w:rPr>
            </w:pPr>
            <w:r w:rsidRPr="00EA7E1A">
              <w:rPr>
                <w:rFonts w:eastAsia="Times New Roman" w:cs="Arial"/>
                <w:b/>
                <w:bCs/>
                <w:color w:val="FFFFFF" w:themeColor="background1"/>
                <w:sz w:val="16"/>
              </w:rPr>
              <w:t>Engagement and collaboration domain</w:t>
            </w:r>
          </w:p>
        </w:tc>
      </w:tr>
      <w:tr w:rsidR="00C16323" w:rsidRPr="005B79F5" w14:paraId="14F0B0DD" w14:textId="77777777" w:rsidTr="00EA7E1A">
        <w:trPr>
          <w:trHeight w:val="947"/>
        </w:trPr>
        <w:tc>
          <w:tcPr>
            <w:tcW w:w="9360" w:type="dxa"/>
            <w:gridSpan w:val="2"/>
            <w:tcMar>
              <w:top w:w="43" w:type="dxa"/>
              <w:left w:w="72" w:type="dxa"/>
              <w:bottom w:w="43" w:type="dxa"/>
              <w:right w:w="72" w:type="dxa"/>
            </w:tcMar>
          </w:tcPr>
          <w:p w14:paraId="6B4A442E" w14:textId="31D0C5D3" w:rsidR="00EA7E1A" w:rsidRPr="00EA7E1A" w:rsidRDefault="00EA7E1A" w:rsidP="00EA7E1A">
            <w:pPr>
              <w:spacing w:after="0"/>
              <w:rPr>
                <w:rFonts w:eastAsia="Times New Roman" w:cs="Arial"/>
                <w:color w:val="auto"/>
                <w:sz w:val="16"/>
              </w:rPr>
            </w:pPr>
            <w:r w:rsidRPr="00EA7E1A">
              <w:rPr>
                <w:rFonts w:eastAsia="Times New Roman" w:cs="Arial"/>
                <w:color w:val="auto"/>
                <w:sz w:val="16"/>
              </w:rPr>
              <w:t>Core competency 5. Engages parents and families as partners in ECCE. Competencies related to working with children’s families and caregivers as partners in ECCE.</w:t>
            </w:r>
          </w:p>
          <w:p w14:paraId="3141F5A3" w14:textId="77777777" w:rsidR="00EA7E1A" w:rsidRPr="00EA7E1A" w:rsidRDefault="00EA7E1A" w:rsidP="00EA7E1A">
            <w:pPr>
              <w:spacing w:after="0"/>
              <w:rPr>
                <w:rFonts w:eastAsia="Times New Roman" w:cs="Arial"/>
                <w:color w:val="auto"/>
                <w:sz w:val="16"/>
              </w:rPr>
            </w:pPr>
          </w:p>
          <w:p w14:paraId="23267203" w14:textId="7873682A" w:rsidR="00C16323" w:rsidRPr="00EA7E1A" w:rsidRDefault="00EA7E1A" w:rsidP="00EA7E1A">
            <w:pPr>
              <w:spacing w:after="0"/>
              <w:rPr>
                <w:rFonts w:eastAsia="Times New Roman" w:cs="Arial"/>
                <w:color w:val="auto"/>
                <w:sz w:val="16"/>
              </w:rPr>
            </w:pPr>
            <w:r w:rsidRPr="00EA7E1A">
              <w:rPr>
                <w:rFonts w:eastAsia="Times New Roman" w:cs="Arial"/>
                <w:color w:val="auto"/>
                <w:sz w:val="16"/>
              </w:rPr>
              <w:t>Core competency 6: Networks and collaborates with relevant stakeholders to promote ECCE. Competencies related to working with a range of stakeholders concerned with the general wellbeing of children.</w:t>
            </w:r>
          </w:p>
        </w:tc>
      </w:tr>
      <w:tr w:rsidR="00EA7E1A" w:rsidRPr="005B79F5" w14:paraId="1862FFCC" w14:textId="77777777" w:rsidTr="00EA7E1A">
        <w:trPr>
          <w:trHeight w:val="299"/>
        </w:trPr>
        <w:tc>
          <w:tcPr>
            <w:tcW w:w="9360" w:type="dxa"/>
            <w:gridSpan w:val="2"/>
            <w:shd w:val="clear" w:color="auto" w:fill="002060"/>
            <w:tcMar>
              <w:top w:w="43" w:type="dxa"/>
              <w:left w:w="72" w:type="dxa"/>
              <w:bottom w:w="43" w:type="dxa"/>
              <w:right w:w="72" w:type="dxa"/>
            </w:tcMar>
          </w:tcPr>
          <w:p w14:paraId="302BB8F3" w14:textId="07BBF8F7" w:rsidR="00EA7E1A" w:rsidRPr="00EA7E1A" w:rsidRDefault="00EA7E1A" w:rsidP="00797ECC">
            <w:pPr>
              <w:tabs>
                <w:tab w:val="left" w:pos="6734"/>
              </w:tabs>
              <w:spacing w:after="0"/>
              <w:rPr>
                <w:rFonts w:eastAsia="Times New Roman" w:cs="Arial"/>
                <w:b/>
                <w:color w:val="FFFFFF" w:themeColor="background1"/>
                <w:sz w:val="16"/>
              </w:rPr>
            </w:pPr>
            <w:r w:rsidRPr="00EA7E1A">
              <w:rPr>
                <w:rFonts w:eastAsia="Times New Roman" w:cs="Arial"/>
                <w:b/>
                <w:bCs/>
                <w:color w:val="FFFFFF" w:themeColor="background1"/>
                <w:sz w:val="16"/>
              </w:rPr>
              <w:t>Professional development domain</w:t>
            </w:r>
            <w:r w:rsidR="009820E9">
              <w:rPr>
                <w:rFonts w:eastAsia="Times New Roman" w:cs="Arial"/>
                <w:b/>
                <w:bCs/>
                <w:color w:val="FFFFFF" w:themeColor="background1"/>
                <w:sz w:val="16"/>
              </w:rPr>
              <w:tab/>
            </w:r>
          </w:p>
        </w:tc>
      </w:tr>
      <w:tr w:rsidR="00EA7E1A" w:rsidRPr="005B79F5" w14:paraId="67631D5D" w14:textId="77777777" w:rsidTr="00EA7E1A">
        <w:trPr>
          <w:trHeight w:val="299"/>
        </w:trPr>
        <w:tc>
          <w:tcPr>
            <w:tcW w:w="9360" w:type="dxa"/>
            <w:gridSpan w:val="2"/>
            <w:shd w:val="clear" w:color="auto" w:fill="auto"/>
            <w:tcMar>
              <w:top w:w="43" w:type="dxa"/>
              <w:left w:w="72" w:type="dxa"/>
              <w:bottom w:w="43" w:type="dxa"/>
              <w:right w:w="72" w:type="dxa"/>
            </w:tcMar>
          </w:tcPr>
          <w:p w14:paraId="77392C3D" w14:textId="29E68FC7" w:rsidR="00EA7E1A" w:rsidRPr="00EA7E1A" w:rsidRDefault="00EA7E1A" w:rsidP="00EA7E1A">
            <w:pPr>
              <w:spacing w:after="0"/>
              <w:rPr>
                <w:rFonts w:eastAsia="Times New Roman" w:cs="Arial"/>
                <w:bCs/>
                <w:color w:val="auto"/>
                <w:sz w:val="16"/>
              </w:rPr>
            </w:pPr>
            <w:r w:rsidRPr="00EA7E1A">
              <w:rPr>
                <w:rFonts w:eastAsia="Times New Roman" w:cs="Arial"/>
                <w:bCs/>
                <w:color w:val="auto"/>
                <w:sz w:val="16"/>
              </w:rPr>
              <w:t>Core competency 7. Ensures continuous personal growth and professional development. Competencies that demonstrate ECCE teachers’ commitment to improve themselves and the practice of their profession as ECCE practitioners.</w:t>
            </w:r>
          </w:p>
        </w:tc>
      </w:tr>
      <w:tr w:rsidR="0070754E" w:rsidRPr="005B79F5" w14:paraId="54238601" w14:textId="77777777" w:rsidTr="00EA7E1A">
        <w:trPr>
          <w:trHeight w:val="299"/>
        </w:trPr>
        <w:tc>
          <w:tcPr>
            <w:tcW w:w="9360" w:type="dxa"/>
            <w:gridSpan w:val="2"/>
            <w:shd w:val="clear" w:color="auto" w:fill="auto"/>
            <w:tcMar>
              <w:top w:w="43" w:type="dxa"/>
              <w:left w:w="72" w:type="dxa"/>
              <w:bottom w:w="43" w:type="dxa"/>
              <w:right w:w="72" w:type="dxa"/>
            </w:tcMar>
          </w:tcPr>
          <w:p w14:paraId="7B7860B9" w14:textId="2456309C" w:rsidR="0070754E" w:rsidRPr="00EA7E1A" w:rsidRDefault="0070754E" w:rsidP="00EA7E1A">
            <w:pPr>
              <w:spacing w:after="0"/>
              <w:rPr>
                <w:rFonts w:eastAsia="Times New Roman" w:cs="Arial"/>
                <w:bCs/>
                <w:color w:val="auto"/>
                <w:sz w:val="16"/>
              </w:rPr>
            </w:pPr>
            <w:r>
              <w:rPr>
                <w:rFonts w:eastAsia="Times New Roman" w:cs="Arial"/>
                <w:bCs/>
                <w:color w:val="auto"/>
                <w:sz w:val="16"/>
              </w:rPr>
              <w:lastRenderedPageBreak/>
              <w:t>*UNESCO &amp; SEAMEO, 2018</w:t>
            </w:r>
          </w:p>
        </w:tc>
      </w:tr>
    </w:tbl>
    <w:p w14:paraId="6E6D3AB6" w14:textId="77777777" w:rsidR="001160A9" w:rsidRDefault="001160A9" w:rsidP="00EA7E1A">
      <w:pPr>
        <w:pStyle w:val="ExhibitTitle"/>
        <w:pBdr>
          <w:top w:val="single" w:sz="18" w:space="1" w:color="BA0C2F"/>
        </w:pBdr>
        <w:ind w:left="0" w:firstLine="0"/>
      </w:pPr>
      <w:r>
        <w:t>Analysis and Recommendations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5400"/>
      </w:tblGrid>
      <w:tr w:rsidR="001160A9" w14:paraId="47AEE440" w14:textId="77777777" w:rsidTr="007B3276">
        <w:tc>
          <w:tcPr>
            <w:tcW w:w="3955" w:type="dxa"/>
            <w:shd w:val="clear" w:color="auto" w:fill="D9D9D9" w:themeFill="background1" w:themeFillShade="D9"/>
            <w:tcMar>
              <w:top w:w="43" w:type="dxa"/>
              <w:left w:w="72" w:type="dxa"/>
              <w:bottom w:w="43" w:type="dxa"/>
              <w:right w:w="72" w:type="dxa"/>
            </w:tcMar>
          </w:tcPr>
          <w:p w14:paraId="6F723972" w14:textId="77777777" w:rsidR="001160A9" w:rsidRPr="00553731" w:rsidRDefault="001160A9" w:rsidP="001160A9">
            <w:pPr>
              <w:pStyle w:val="TableColHead"/>
            </w:pPr>
            <w:r w:rsidRPr="00553731">
              <w:t>Analysis</w:t>
            </w:r>
          </w:p>
        </w:tc>
        <w:tc>
          <w:tcPr>
            <w:tcW w:w="5400" w:type="dxa"/>
            <w:shd w:val="clear" w:color="auto" w:fill="D9D9D9" w:themeFill="background1" w:themeFillShade="D9"/>
            <w:tcMar>
              <w:top w:w="43" w:type="dxa"/>
              <w:left w:w="72" w:type="dxa"/>
              <w:bottom w:w="43" w:type="dxa"/>
              <w:right w:w="72" w:type="dxa"/>
            </w:tcMar>
          </w:tcPr>
          <w:p w14:paraId="0C12C8D2" w14:textId="77777777" w:rsidR="001160A9" w:rsidRDefault="001160A9" w:rsidP="001160A9">
            <w:pPr>
              <w:pStyle w:val="TableColHead"/>
            </w:pPr>
            <w:r w:rsidRPr="00553731">
              <w:t>Recommendations</w:t>
            </w:r>
          </w:p>
        </w:tc>
      </w:tr>
      <w:tr w:rsidR="001160A9" w14:paraId="62296B09" w14:textId="77777777" w:rsidTr="007B3276">
        <w:tc>
          <w:tcPr>
            <w:tcW w:w="3955" w:type="dxa"/>
            <w:shd w:val="clear" w:color="auto" w:fill="D9D9D9" w:themeFill="background1" w:themeFillShade="D9"/>
            <w:tcMar>
              <w:top w:w="43" w:type="dxa"/>
              <w:left w:w="72" w:type="dxa"/>
              <w:bottom w:w="43" w:type="dxa"/>
              <w:right w:w="72" w:type="dxa"/>
            </w:tcMar>
          </w:tcPr>
          <w:p w14:paraId="1B773B6D" w14:textId="77777777" w:rsidR="001160A9" w:rsidRPr="00D84339" w:rsidRDefault="00DC26AA" w:rsidP="001160A9">
            <w:pPr>
              <w:pStyle w:val="Tableceltext"/>
            </w:pPr>
            <w:r>
              <w:t>Policy frameworks vary widely by country, and implementation of these policies remains inconsistent.</w:t>
            </w:r>
          </w:p>
        </w:tc>
        <w:tc>
          <w:tcPr>
            <w:tcW w:w="5400" w:type="dxa"/>
            <w:shd w:val="clear" w:color="auto" w:fill="D9D9D9" w:themeFill="background1" w:themeFillShade="D9"/>
            <w:tcMar>
              <w:top w:w="43" w:type="dxa"/>
              <w:left w:w="72" w:type="dxa"/>
              <w:bottom w:w="43" w:type="dxa"/>
              <w:right w:w="72" w:type="dxa"/>
            </w:tcMar>
          </w:tcPr>
          <w:p w14:paraId="482F85B6" w14:textId="3B7DB246" w:rsidR="001160A9" w:rsidRDefault="00405B27" w:rsidP="001160A9">
            <w:pPr>
              <w:pStyle w:val="Tableceltext"/>
            </w:pPr>
            <w:r w:rsidRPr="00405B27">
              <w:t xml:space="preserve">Regional guidelines and frameworks such as the </w:t>
            </w:r>
            <w:r w:rsidR="00BC484F">
              <w:t xml:space="preserve">International </w:t>
            </w:r>
            <w:proofErr w:type="spellStart"/>
            <w:r w:rsidR="00BC484F">
              <w:t>Labour</w:t>
            </w:r>
            <w:proofErr w:type="spellEnd"/>
            <w:r w:rsidR="00BC484F">
              <w:t xml:space="preserve"> Organization</w:t>
            </w:r>
            <w:r w:rsidR="00BC484F" w:rsidRPr="00405B27">
              <w:t xml:space="preserve"> </w:t>
            </w:r>
            <w:r w:rsidRPr="00405B27">
              <w:t xml:space="preserve">(2014), SEAMEO </w:t>
            </w:r>
            <w:r w:rsidR="00254173">
              <w:t>and</w:t>
            </w:r>
            <w:r w:rsidR="00254173" w:rsidRPr="00405B27">
              <w:t xml:space="preserve"> </w:t>
            </w:r>
            <w:r w:rsidRPr="00405B27">
              <w:t>UNESCO (2016)</w:t>
            </w:r>
            <w:r w:rsidR="00254173">
              <w:t>,</w:t>
            </w:r>
            <w:r w:rsidRPr="00405B27">
              <w:t xml:space="preserve"> and UNESCO </w:t>
            </w:r>
            <w:r w:rsidR="00254173">
              <w:t>and</w:t>
            </w:r>
            <w:r w:rsidR="00254173" w:rsidRPr="00405B27">
              <w:t xml:space="preserve"> </w:t>
            </w:r>
            <w:r w:rsidRPr="00405B27">
              <w:t>SEAMEO (2018) relating to ECE teacher development, management, skills</w:t>
            </w:r>
            <w:r w:rsidR="00254173">
              <w:t>,</w:t>
            </w:r>
            <w:r w:rsidRPr="00405B27">
              <w:t xml:space="preserve"> and competencies offer a basis on which to review and revise country-specific ECE teacher policies. Distance education and strengthened partnerships between government and non-state actors are promising avenues to improve the situation of the ECE workforce in terms of both quantity and quality (Sun, Rao, &amp; Pearson</w:t>
            </w:r>
            <w:r w:rsidR="00254173">
              <w:t>,</w:t>
            </w:r>
            <w:r w:rsidRPr="00405B27">
              <w:t xml:space="preserve"> 2015)</w:t>
            </w:r>
            <w:r w:rsidR="00254173">
              <w:t>.</w:t>
            </w:r>
          </w:p>
        </w:tc>
      </w:tr>
    </w:tbl>
    <w:p w14:paraId="08D370E1" w14:textId="63860BDF" w:rsidR="001160A9" w:rsidRPr="001160A9" w:rsidRDefault="00905FBE" w:rsidP="001160A9">
      <w:pPr>
        <w:pStyle w:val="Heading2"/>
      </w:pPr>
      <w:r w:rsidRPr="00905FBE">
        <w:t>In-service Teacher Training</w:t>
      </w:r>
      <w:r>
        <w:t xml:space="preserve"> and support</w:t>
      </w:r>
    </w:p>
    <w:p w14:paraId="329E185E" w14:textId="3820ADFA" w:rsidR="001160A9" w:rsidRDefault="00905FBE" w:rsidP="00332D80">
      <w:pPr>
        <w:spacing w:after="280"/>
      </w:pPr>
      <w:r w:rsidRPr="00905FBE">
        <w:t>ECE teachers are often inexperienced and come to the teaching profession without any formal training in teaching and how best to support students (Bold et al., 201</w:t>
      </w:r>
      <w:r w:rsidR="009820E9">
        <w:t>7</w:t>
      </w:r>
      <w:r w:rsidRPr="00905FBE">
        <w:t xml:space="preserve">; </w:t>
      </w:r>
      <w:proofErr w:type="spellStart"/>
      <w:r w:rsidRPr="00905FBE">
        <w:t>Abuel-Ealer</w:t>
      </w:r>
      <w:proofErr w:type="spellEnd"/>
      <w:r w:rsidRPr="00905FBE">
        <w:t>, 2012). As a result, in-service training and support is extremely important, as it may be the only training teachers will receive on how to teach learners. As more pre</w:t>
      </w:r>
      <w:r w:rsidR="009820E9">
        <w:t>-</w:t>
      </w:r>
      <w:r w:rsidRPr="00905FBE">
        <w:t>primary programs are developed and implemented in these countries, teachers are beginning to receive more in-depth and extensive training and support.</w:t>
      </w:r>
    </w:p>
    <w:p w14:paraId="7619A390" w14:textId="77777777" w:rsidR="00C105D0" w:rsidRPr="00916964" w:rsidRDefault="00C105D0" w:rsidP="00F56C08">
      <w:pPr>
        <w:pStyle w:val="ExhibitTitle"/>
        <w:pBdr>
          <w:top w:val="single" w:sz="18" w:space="1" w:color="BA0C2F"/>
        </w:pBdr>
      </w:pPr>
      <w:r w:rsidRPr="00916964">
        <w:t>Analysis and Recommendations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5"/>
      </w:tblGrid>
      <w:tr w:rsidR="00C105D0" w14:paraId="3EDE8F73" w14:textId="77777777" w:rsidTr="007B3276">
        <w:tc>
          <w:tcPr>
            <w:tcW w:w="3780" w:type="dxa"/>
            <w:shd w:val="clear" w:color="auto" w:fill="D9D9D9" w:themeFill="background1" w:themeFillShade="D9"/>
            <w:tcMar>
              <w:top w:w="43" w:type="dxa"/>
              <w:left w:w="72" w:type="dxa"/>
              <w:bottom w:w="43" w:type="dxa"/>
              <w:right w:w="72" w:type="dxa"/>
            </w:tcMar>
          </w:tcPr>
          <w:p w14:paraId="50A4CE36" w14:textId="77777777" w:rsidR="00C105D0" w:rsidRPr="00553731" w:rsidRDefault="00C105D0" w:rsidP="001B6F63">
            <w:pPr>
              <w:pStyle w:val="TableColHead"/>
            </w:pPr>
            <w:r w:rsidRPr="00553731">
              <w:t>Analysis</w:t>
            </w:r>
          </w:p>
        </w:tc>
        <w:tc>
          <w:tcPr>
            <w:tcW w:w="5575" w:type="dxa"/>
            <w:shd w:val="clear" w:color="auto" w:fill="D9D9D9" w:themeFill="background1" w:themeFillShade="D9"/>
            <w:tcMar>
              <w:top w:w="43" w:type="dxa"/>
              <w:left w:w="72" w:type="dxa"/>
              <w:bottom w:w="43" w:type="dxa"/>
              <w:right w:w="72" w:type="dxa"/>
            </w:tcMar>
          </w:tcPr>
          <w:p w14:paraId="5D87D40B" w14:textId="77777777" w:rsidR="00C105D0" w:rsidRDefault="00C105D0" w:rsidP="001B6F63">
            <w:pPr>
              <w:pStyle w:val="TableColHead"/>
            </w:pPr>
            <w:r w:rsidRPr="00553731">
              <w:t>Recommendations</w:t>
            </w:r>
          </w:p>
        </w:tc>
      </w:tr>
      <w:tr w:rsidR="00C105D0" w14:paraId="742B709A" w14:textId="77777777" w:rsidTr="007B3276">
        <w:tc>
          <w:tcPr>
            <w:tcW w:w="3780" w:type="dxa"/>
            <w:shd w:val="clear" w:color="auto" w:fill="D9D9D9" w:themeFill="background1" w:themeFillShade="D9"/>
            <w:tcMar>
              <w:top w:w="43" w:type="dxa"/>
              <w:left w:w="72" w:type="dxa"/>
              <w:bottom w:w="43" w:type="dxa"/>
              <w:right w:w="72" w:type="dxa"/>
            </w:tcMar>
          </w:tcPr>
          <w:p w14:paraId="7B32065D" w14:textId="602CF1AF" w:rsidR="00EA2489" w:rsidRDefault="00EA2489" w:rsidP="00EA2489">
            <w:pPr>
              <w:pStyle w:val="Tableceltext"/>
              <w:numPr>
                <w:ilvl w:val="0"/>
                <w:numId w:val="32"/>
              </w:numPr>
              <w:ind w:left="195" w:hanging="195"/>
            </w:pPr>
            <w:r w:rsidRPr="00EA2489">
              <w:t xml:space="preserve">In Bangladesh, </w:t>
            </w:r>
            <w:r>
              <w:t>t</w:t>
            </w:r>
            <w:r w:rsidRPr="00EA2489">
              <w:t xml:space="preserve">eachers </w:t>
            </w:r>
            <w:r>
              <w:t xml:space="preserve">in one program </w:t>
            </w:r>
            <w:r w:rsidRPr="00EA2489">
              <w:t>received training when they first joined the program</w:t>
            </w:r>
            <w:r>
              <w:t xml:space="preserve"> and</w:t>
            </w:r>
            <w:r w:rsidRPr="00EA2489">
              <w:t xml:space="preserve"> a two-day training at the beginning of each year</w:t>
            </w:r>
            <w:r>
              <w:t xml:space="preserve"> (</w:t>
            </w:r>
            <w:proofErr w:type="spellStart"/>
            <w:r w:rsidRPr="00EA2489">
              <w:t>Shahjamal</w:t>
            </w:r>
            <w:proofErr w:type="spellEnd"/>
            <w:r w:rsidRPr="00EA2489">
              <w:t xml:space="preserve"> &amp; Nath, 2008</w:t>
            </w:r>
            <w:r>
              <w:t xml:space="preserve">). </w:t>
            </w:r>
          </w:p>
          <w:p w14:paraId="492B2AF3" w14:textId="6AE15A98" w:rsidR="00EA2489" w:rsidRPr="00D84339" w:rsidRDefault="00EA2489" w:rsidP="00EA2489">
            <w:pPr>
              <w:pStyle w:val="Tableceltext"/>
              <w:numPr>
                <w:ilvl w:val="0"/>
                <w:numId w:val="32"/>
              </w:numPr>
              <w:ind w:left="195" w:hanging="195"/>
            </w:pPr>
            <w:r w:rsidRPr="00EA2489">
              <w:t xml:space="preserve">Teachers </w:t>
            </w:r>
            <w:r>
              <w:t xml:space="preserve">in another program </w:t>
            </w:r>
            <w:r w:rsidRPr="00EA2489">
              <w:t>received a 5-day training at the beginning of the year,</w:t>
            </w:r>
            <w:r w:rsidR="009820E9">
              <w:t xml:space="preserve"> and</w:t>
            </w:r>
            <w:r w:rsidRPr="00EA2489">
              <w:t xml:space="preserve"> a 4-day refresher training mid-</w:t>
            </w:r>
            <w:r w:rsidR="00797ECC">
              <w:t>year</w:t>
            </w:r>
            <w:r w:rsidRPr="00EA2489">
              <w:t>. The beginning of the year training focused on pre-mathematics, pre-literacy</w:t>
            </w:r>
            <w:r w:rsidR="009820E9">
              <w:t>,</w:t>
            </w:r>
            <w:r w:rsidRPr="00EA2489">
              <w:t xml:space="preserve"> and classroom management, while the mid-year training focused on curriculum, syllabus, and teaching techniques</w:t>
            </w:r>
            <w:r>
              <w:t xml:space="preserve"> </w:t>
            </w:r>
            <w:r w:rsidRPr="00EA2489">
              <w:t>(Opel, Camellia, &amp; Aboud, 2007).</w:t>
            </w:r>
          </w:p>
        </w:tc>
        <w:tc>
          <w:tcPr>
            <w:tcW w:w="5575" w:type="dxa"/>
            <w:shd w:val="clear" w:color="auto" w:fill="D9D9D9" w:themeFill="background1" w:themeFillShade="D9"/>
            <w:tcMar>
              <w:top w:w="43" w:type="dxa"/>
              <w:left w:w="72" w:type="dxa"/>
              <w:bottom w:w="43" w:type="dxa"/>
              <w:right w:w="72" w:type="dxa"/>
            </w:tcMar>
          </w:tcPr>
          <w:p w14:paraId="181B8E36" w14:textId="3740A0A4" w:rsidR="00C105D0" w:rsidRDefault="00DC26AA" w:rsidP="001B6F63">
            <w:pPr>
              <w:pStyle w:val="Tableceltext"/>
            </w:pPr>
            <w:r>
              <w:t>M</w:t>
            </w:r>
            <w:r w:rsidRPr="00DC26AA">
              <w:t xml:space="preserve">any programs found success offering both an initial training and refresher trainings to review content with teachers. This approach allowed new teachers to quickly become familiar with the content, as well as get continual reminders of both the overall approach </w:t>
            </w:r>
            <w:r w:rsidR="009820E9">
              <w:t>and</w:t>
            </w:r>
            <w:r w:rsidRPr="00DC26AA">
              <w:t xml:space="preserve"> how to approach individual lessons in a given time period.</w:t>
            </w:r>
          </w:p>
        </w:tc>
      </w:tr>
      <w:tr w:rsidR="00520A7B" w14:paraId="2511BAB0" w14:textId="77777777" w:rsidTr="007B3276">
        <w:tc>
          <w:tcPr>
            <w:tcW w:w="3780" w:type="dxa"/>
            <w:shd w:val="clear" w:color="auto" w:fill="D9D9D9" w:themeFill="background1" w:themeFillShade="D9"/>
            <w:tcMar>
              <w:top w:w="43" w:type="dxa"/>
              <w:left w:w="72" w:type="dxa"/>
              <w:bottom w:w="43" w:type="dxa"/>
              <w:right w:w="72" w:type="dxa"/>
            </w:tcMar>
          </w:tcPr>
          <w:p w14:paraId="36AA3935" w14:textId="79E9FFC5" w:rsidR="00520A7B" w:rsidRPr="00EA2489" w:rsidRDefault="00520A7B" w:rsidP="00EA2489">
            <w:pPr>
              <w:pStyle w:val="Tableceltext"/>
              <w:numPr>
                <w:ilvl w:val="0"/>
                <w:numId w:val="32"/>
              </w:numPr>
              <w:ind w:left="195" w:hanging="195"/>
            </w:pPr>
            <w:r>
              <w:t>In Bangladesh, teachers within two programs received</w:t>
            </w:r>
            <w:r w:rsidRPr="00EA2489">
              <w:t xml:space="preserve"> a refresher training each month. This refresher training reviewed best practices</w:t>
            </w:r>
            <w:r>
              <w:t xml:space="preserve"> and</w:t>
            </w:r>
            <w:r w:rsidRPr="00EA2489">
              <w:t xml:space="preserve"> reviewed the lessons for the next month with the teachers</w:t>
            </w:r>
            <w:r>
              <w:t xml:space="preserve"> (</w:t>
            </w:r>
            <w:proofErr w:type="spellStart"/>
            <w:r w:rsidRPr="00EA2489">
              <w:t>Shahjamal</w:t>
            </w:r>
            <w:proofErr w:type="spellEnd"/>
            <w:r w:rsidRPr="00EA2489">
              <w:t xml:space="preserve"> &amp; Nath, 2008</w:t>
            </w:r>
            <w:r w:rsidR="00810590">
              <w:t xml:space="preserve">; </w:t>
            </w:r>
            <w:r w:rsidRPr="00580FF0">
              <w:t>Opel, Camellia, &amp; Aboud, 2007).</w:t>
            </w:r>
          </w:p>
        </w:tc>
        <w:tc>
          <w:tcPr>
            <w:tcW w:w="5575" w:type="dxa"/>
            <w:shd w:val="clear" w:color="auto" w:fill="D9D9D9" w:themeFill="background1" w:themeFillShade="D9"/>
            <w:tcMar>
              <w:top w:w="43" w:type="dxa"/>
              <w:left w:w="72" w:type="dxa"/>
              <w:bottom w:w="43" w:type="dxa"/>
              <w:right w:w="72" w:type="dxa"/>
            </w:tcMar>
          </w:tcPr>
          <w:p w14:paraId="3B6176A7" w14:textId="7D1258DC" w:rsidR="00520A7B" w:rsidRDefault="00520A7B" w:rsidP="001B6F63">
            <w:pPr>
              <w:pStyle w:val="Tableceltext"/>
            </w:pPr>
            <w:r w:rsidRPr="00DC26AA">
              <w:t>Many programs offered monthly meetings to go over the month’s lessons with teachers in-depth, as well as to allow an opportunity for teachers to regularly discuss any issues they were having in the classroom. This helped teachers build a community of practice with fellow teachers, as well as feel prepared for their lessons for that month.</w:t>
            </w:r>
          </w:p>
        </w:tc>
      </w:tr>
      <w:tr w:rsidR="00DC26AA" w14:paraId="2288A25E" w14:textId="77777777" w:rsidTr="007B3276">
        <w:tc>
          <w:tcPr>
            <w:tcW w:w="3780" w:type="dxa"/>
            <w:shd w:val="clear" w:color="auto" w:fill="D9D9D9" w:themeFill="background1" w:themeFillShade="D9"/>
            <w:tcMar>
              <w:top w:w="43" w:type="dxa"/>
              <w:left w:w="72" w:type="dxa"/>
              <w:bottom w:w="43" w:type="dxa"/>
              <w:right w:w="72" w:type="dxa"/>
            </w:tcMar>
          </w:tcPr>
          <w:p w14:paraId="2523CA91" w14:textId="21061E48" w:rsidR="00DC26AA" w:rsidRDefault="00EA2489" w:rsidP="00EA2489">
            <w:pPr>
              <w:pStyle w:val="Tableceltext"/>
              <w:numPr>
                <w:ilvl w:val="0"/>
                <w:numId w:val="34"/>
              </w:numPr>
              <w:ind w:left="195" w:hanging="195"/>
            </w:pPr>
            <w:r w:rsidRPr="00EA2489">
              <w:t>In a reading intervention in Bangladesh, teachers were shown videos of teachers reading storybooks to children, using both a dialogic and traditional approach (Opel, Ameer, &amp; Aboud, 2009). This helped teachers identify differences in both the way the story was read and the children’s responses.</w:t>
            </w:r>
          </w:p>
          <w:p w14:paraId="691EE20F" w14:textId="67397A13" w:rsidR="00EA2489" w:rsidRPr="00C105D0" w:rsidRDefault="00EA2489" w:rsidP="00EA2489">
            <w:pPr>
              <w:pStyle w:val="Tableceltext"/>
              <w:numPr>
                <w:ilvl w:val="0"/>
                <w:numId w:val="34"/>
              </w:numPr>
              <w:ind w:left="195" w:hanging="195"/>
            </w:pPr>
            <w:r w:rsidRPr="00EA2489">
              <w:t xml:space="preserve">Video was also used </w:t>
            </w:r>
            <w:r w:rsidR="009820E9">
              <w:t>in</w:t>
            </w:r>
            <w:r w:rsidRPr="00EA2489">
              <w:t xml:space="preserve"> training primary school teachers in Nepal</w:t>
            </w:r>
            <w:r>
              <w:t xml:space="preserve">, with </w:t>
            </w:r>
            <w:r w:rsidRPr="00EA2489">
              <w:t>trainers travel</w:t>
            </w:r>
            <w:r>
              <w:t>ing</w:t>
            </w:r>
            <w:r w:rsidRPr="00EA2489">
              <w:t xml:space="preserve"> out to rural areas with pre-taped training materials recorded on video. In addition to being more convenient for rural teachers, researchers found this also helped visual learners, </w:t>
            </w:r>
            <w:r w:rsidR="009820E9" w:rsidRPr="00EA2489">
              <w:t>aid</w:t>
            </w:r>
            <w:r w:rsidR="009820E9">
              <w:t>ing</w:t>
            </w:r>
            <w:r w:rsidR="009820E9" w:rsidRPr="00EA2489">
              <w:t xml:space="preserve"> </w:t>
            </w:r>
            <w:r w:rsidRPr="00EA2489">
              <w:t>with memory</w:t>
            </w:r>
            <w:r w:rsidR="009820E9">
              <w:t>,</w:t>
            </w:r>
            <w:r w:rsidRPr="00EA2489">
              <w:t xml:space="preserve"> as videos could be watched more than once, and helped trainers become more confident as a result of filming and reviewing their training (Pouezevara &amp; </w:t>
            </w:r>
            <w:proofErr w:type="spellStart"/>
            <w:r w:rsidRPr="00EA2489">
              <w:t>Parajuli</w:t>
            </w:r>
            <w:proofErr w:type="spellEnd"/>
            <w:r w:rsidRPr="00EA2489">
              <w:t>, 2007).</w:t>
            </w:r>
          </w:p>
        </w:tc>
        <w:tc>
          <w:tcPr>
            <w:tcW w:w="5575" w:type="dxa"/>
            <w:shd w:val="clear" w:color="auto" w:fill="D9D9D9" w:themeFill="background1" w:themeFillShade="D9"/>
            <w:tcMar>
              <w:top w:w="43" w:type="dxa"/>
              <w:left w:w="72" w:type="dxa"/>
              <w:bottom w:w="43" w:type="dxa"/>
              <w:right w:w="72" w:type="dxa"/>
            </w:tcMar>
          </w:tcPr>
          <w:p w14:paraId="60D33AEE" w14:textId="48643D33" w:rsidR="00DC26AA" w:rsidRPr="00DC26AA" w:rsidRDefault="00DC26AA" w:rsidP="001B6F63">
            <w:pPr>
              <w:pStyle w:val="Tableceltext"/>
            </w:pPr>
            <w:r w:rsidRPr="00DC26AA">
              <w:t xml:space="preserve">Two programs found that video helped to supplement training. This was helpful as </w:t>
            </w:r>
            <w:r w:rsidR="009820E9">
              <w:t xml:space="preserve">both </w:t>
            </w:r>
            <w:r w:rsidRPr="00DC26AA">
              <w:t>a way to illustrate certain approaches (such as dialogic reading)</w:t>
            </w:r>
            <w:r w:rsidR="009820E9">
              <w:t xml:space="preserve"> and</w:t>
            </w:r>
            <w:r w:rsidRPr="00DC26AA">
              <w:t xml:space="preserve"> to allow rural teachers a way to receive regular training.</w:t>
            </w:r>
          </w:p>
        </w:tc>
      </w:tr>
    </w:tbl>
    <w:p w14:paraId="1C1FF973" w14:textId="77777777" w:rsidR="00C055EF" w:rsidRDefault="00C055EF" w:rsidP="00044A05">
      <w:pPr>
        <w:pStyle w:val="Heading2"/>
      </w:pPr>
    </w:p>
    <w:p w14:paraId="48C500BA" w14:textId="1F8DC089" w:rsidR="00815469" w:rsidRPr="005F1B34" w:rsidRDefault="00815469" w:rsidP="00044A05">
      <w:pPr>
        <w:pStyle w:val="Heading2"/>
      </w:pPr>
      <w:r w:rsidRPr="005F1B34">
        <w:lastRenderedPageBreak/>
        <w:t>Re</w:t>
      </w:r>
      <w:r w:rsidR="00EA7E1A">
        <w:t>f</w:t>
      </w:r>
      <w:r w:rsidRPr="005F1B34">
        <w:t>erences</w:t>
      </w:r>
    </w:p>
    <w:p w14:paraId="1DA75886" w14:textId="4426ADB0" w:rsidR="00EA2489" w:rsidRDefault="00EA2489" w:rsidP="00EA2489">
      <w:pPr>
        <w:pStyle w:val="References"/>
      </w:pPr>
      <w:proofErr w:type="spellStart"/>
      <w:r w:rsidRPr="00EA2489">
        <w:t>Abuel-Ealer</w:t>
      </w:r>
      <w:proofErr w:type="spellEnd"/>
      <w:r w:rsidRPr="00EA2489">
        <w:t xml:space="preserve">, S. (2012). </w:t>
      </w:r>
      <w:r w:rsidRPr="00797ECC">
        <w:rPr>
          <w:i/>
        </w:rPr>
        <w:t>Closing the trained teacher gap</w:t>
      </w:r>
      <w:r w:rsidRPr="00EA2489">
        <w:t>. Global Campaigns for Education South Africa. Retrieved from: http://www.campaignforeducation.org/docs/reports/ECNAT%20Report_RGB.pdf</w:t>
      </w:r>
    </w:p>
    <w:p w14:paraId="4C1342CF" w14:textId="292C2580" w:rsidR="00EA2489" w:rsidRDefault="00EA2489" w:rsidP="00EA2489">
      <w:pPr>
        <w:pStyle w:val="References"/>
      </w:pPr>
      <w:r w:rsidRPr="00EA2489">
        <w:t xml:space="preserve">Bold, T., Filmer, D., Martin, G., Molina, E., </w:t>
      </w:r>
      <w:proofErr w:type="spellStart"/>
      <w:r w:rsidRPr="00EA2489">
        <w:t>Rockmore</w:t>
      </w:r>
      <w:proofErr w:type="spellEnd"/>
      <w:r w:rsidRPr="00EA2489">
        <w:t xml:space="preserve">, C., Stacy, B., </w:t>
      </w:r>
      <w:proofErr w:type="spellStart"/>
      <w:r w:rsidRPr="00EA2489">
        <w:t>Svensonn</w:t>
      </w:r>
      <w:proofErr w:type="spellEnd"/>
      <w:r w:rsidRPr="00EA2489">
        <w:t xml:space="preserve">, J., &amp; Wane, W. (2017). </w:t>
      </w:r>
      <w:r w:rsidRPr="00797ECC">
        <w:rPr>
          <w:i/>
        </w:rPr>
        <w:t>What do teachers know and do? Does it matter?</w:t>
      </w:r>
      <w:r w:rsidRPr="00EA2489">
        <w:t xml:space="preserve"> Retrieved from: https://elibrary.worldbank.org/doi/abs/10.1596/1813-9450-7956</w:t>
      </w:r>
    </w:p>
    <w:p w14:paraId="2B8CB276" w14:textId="53D17F65" w:rsidR="00520A7B" w:rsidRDefault="00520A7B" w:rsidP="00EA2489">
      <w:pPr>
        <w:pStyle w:val="References"/>
      </w:pPr>
      <w:r w:rsidRPr="00520A7B">
        <w:t xml:space="preserve">Opel, A., Ameer, S. S., &amp; Aboud, F. E. (2009). The effect of preschool dialogic reading on vocabulary among rural Bangladeshi children. </w:t>
      </w:r>
      <w:r w:rsidRPr="00797ECC">
        <w:rPr>
          <w:i/>
        </w:rPr>
        <w:t>International Journal of Educational Research</w:t>
      </w:r>
      <w:r w:rsidRPr="00520A7B">
        <w:t>, 48(1), 12-20.</w:t>
      </w:r>
    </w:p>
    <w:p w14:paraId="5A65DA7B" w14:textId="022A185A" w:rsidR="00EA2489" w:rsidRDefault="00EA2489" w:rsidP="00EA2489">
      <w:pPr>
        <w:pStyle w:val="References"/>
      </w:pPr>
      <w:r w:rsidRPr="00EA2489">
        <w:t xml:space="preserve">Opel, A., Camellia, S., &amp; Aboud, F. E. (2007). </w:t>
      </w:r>
      <w:r w:rsidRPr="00797ECC">
        <w:rPr>
          <w:i/>
        </w:rPr>
        <w:t xml:space="preserve">Playing with mathematics: </w:t>
      </w:r>
      <w:r w:rsidR="009820E9" w:rsidRPr="009820E9">
        <w:rPr>
          <w:i/>
        </w:rPr>
        <w:t>A</w:t>
      </w:r>
      <w:r w:rsidRPr="00797ECC">
        <w:rPr>
          <w:i/>
        </w:rPr>
        <w:t xml:space="preserve"> pilot intervention to develop basic mathematical skills among preschoolers in Bangladesh</w:t>
      </w:r>
      <w:r w:rsidRPr="00EA2489">
        <w:t>. BRAC University Institute of Education and Development, Dhaka, Bangladesh.</w:t>
      </w:r>
    </w:p>
    <w:p w14:paraId="41270245" w14:textId="6B1EC704" w:rsidR="00520A7B" w:rsidRDefault="00520A7B" w:rsidP="00EA2489">
      <w:pPr>
        <w:pStyle w:val="References"/>
      </w:pPr>
      <w:r w:rsidRPr="00520A7B">
        <w:t xml:space="preserve">Pouezevara, S. L., &amp; </w:t>
      </w:r>
      <w:proofErr w:type="spellStart"/>
      <w:r w:rsidRPr="00520A7B">
        <w:t>Parajuli</w:t>
      </w:r>
      <w:proofErr w:type="spellEnd"/>
      <w:r w:rsidRPr="00520A7B">
        <w:t xml:space="preserve">, B. (2007). </w:t>
      </w:r>
      <w:r w:rsidRPr="00797ECC">
        <w:rPr>
          <w:i/>
        </w:rPr>
        <w:t>Old technology or new? A study of video recording as an innovative method for primary school teacher training in rural Nepal.</w:t>
      </w:r>
      <w:r w:rsidRPr="00520A7B">
        <w:t xml:space="preserve"> Asian Development Bank. Retrieved from: http://citeseerx.ist.psu.edu/viewdoc/download?doi=10.1.1.546.7733&amp;rep=rep1&amp;type=pdf</w:t>
      </w:r>
    </w:p>
    <w:p w14:paraId="48B9C3E6" w14:textId="0E9FFA4A" w:rsidR="00EA2489" w:rsidRDefault="00EA2489" w:rsidP="00EA2489">
      <w:pPr>
        <w:pStyle w:val="References"/>
      </w:pPr>
      <w:r>
        <w:t xml:space="preserve">SABER (2013a). </w:t>
      </w:r>
      <w:r w:rsidRPr="00797ECC">
        <w:rPr>
          <w:i/>
        </w:rPr>
        <w:t xml:space="preserve">Kyrgyz </w:t>
      </w:r>
      <w:r w:rsidR="009820E9" w:rsidRPr="00797ECC">
        <w:rPr>
          <w:i/>
        </w:rPr>
        <w:t>republic early childhood development</w:t>
      </w:r>
      <w:r w:rsidR="009820E9">
        <w:t xml:space="preserve"> </w:t>
      </w:r>
      <w:r>
        <w:t>(SABER Country Report). Washington, DC: The World Bank.</w:t>
      </w:r>
    </w:p>
    <w:p w14:paraId="199D30B7" w14:textId="1613BC2D" w:rsidR="00EA2489" w:rsidRDefault="00EA2489" w:rsidP="00EA2489">
      <w:pPr>
        <w:pStyle w:val="References"/>
      </w:pPr>
      <w:r>
        <w:t xml:space="preserve">SABER (2013b). </w:t>
      </w:r>
      <w:r w:rsidR="009820E9" w:rsidRPr="00797ECC">
        <w:rPr>
          <w:i/>
        </w:rPr>
        <w:t>Nepal early childhood development</w:t>
      </w:r>
      <w:r w:rsidR="009820E9">
        <w:t xml:space="preserve"> </w:t>
      </w:r>
      <w:r>
        <w:t>(SABER Country Report). Washington, DC: The World Bank.</w:t>
      </w:r>
    </w:p>
    <w:p w14:paraId="3E628E02" w14:textId="21E67C95" w:rsidR="00EA2489" w:rsidRDefault="009820E9" w:rsidP="00EA2489">
      <w:pPr>
        <w:pStyle w:val="References"/>
      </w:pPr>
      <w:r>
        <w:t>South East Asian Ministers of Education Organization (</w:t>
      </w:r>
      <w:r w:rsidR="00EA2489" w:rsidRPr="00EA2489">
        <w:t>SEAMEO</w:t>
      </w:r>
      <w:r>
        <w:t>)</w:t>
      </w:r>
      <w:r w:rsidR="00EA2489" w:rsidRPr="00EA2489">
        <w:t xml:space="preserve"> &amp; </w:t>
      </w:r>
      <w:r>
        <w:t>United Nations Educational, Scientific and Cultural Organization (</w:t>
      </w:r>
      <w:r w:rsidR="00EA2489" w:rsidRPr="00EA2489">
        <w:t>UNESCO</w:t>
      </w:r>
      <w:r>
        <w:t>).</w:t>
      </w:r>
      <w:r w:rsidR="00EA2489" w:rsidRPr="00EA2489">
        <w:t xml:space="preserve"> (2016). Southeast Asian Guidelines for Early Childhood Teacher Development and Management. Bangkok: SEAMEO Secretariat and UNESCO.</w:t>
      </w:r>
    </w:p>
    <w:p w14:paraId="2CDD3C86" w14:textId="74A53878" w:rsidR="00EA2489" w:rsidRDefault="00EA2489" w:rsidP="00EA2489">
      <w:pPr>
        <w:pStyle w:val="References"/>
      </w:pPr>
      <w:proofErr w:type="spellStart"/>
      <w:r w:rsidRPr="00EA2489">
        <w:t>Shahjamal</w:t>
      </w:r>
      <w:proofErr w:type="spellEnd"/>
      <w:r w:rsidRPr="00EA2489">
        <w:t>, M. M., &amp; Nath, S. R. (2008). An evaluation of BRAC pre-primary education program. Bangladesh: BRAC Centre.</w:t>
      </w:r>
    </w:p>
    <w:p w14:paraId="65EEBF09" w14:textId="585AC24F" w:rsidR="00EA2489" w:rsidRDefault="00EA2489" w:rsidP="00EA2489">
      <w:pPr>
        <w:pStyle w:val="References"/>
      </w:pPr>
      <w:r w:rsidRPr="00EA2489">
        <w:t xml:space="preserve">Sun, J., Rao, N., &amp; Pearson, E. (2015). Policies and strategies to enhance the quality of early childhood educators. (Background paper prepared for the Education for All Global Monitoring Report 2015, Education for All 2000-2015: achievements and challenges). Retrieved from: </w:t>
      </w:r>
      <w:hyperlink r:id="rId10" w:history="1">
        <w:r w:rsidRPr="00952255">
          <w:rPr>
            <w:rStyle w:val="Hyperlink"/>
            <w:sz w:val="16"/>
          </w:rPr>
          <w:t>http://unesdoc.unesco.org/images/0023/002324/232453e.pdf</w:t>
        </w:r>
      </w:hyperlink>
    </w:p>
    <w:p w14:paraId="4B5A5797" w14:textId="57F1E7D4" w:rsidR="00EA2489" w:rsidRDefault="009820E9" w:rsidP="00EA2489">
      <w:pPr>
        <w:pStyle w:val="References"/>
      </w:pPr>
      <w:r>
        <w:t>United Nations Educational, Scientific and Cultural Organization (</w:t>
      </w:r>
      <w:r w:rsidRPr="00EA2489">
        <w:t>UNESCO</w:t>
      </w:r>
      <w:r>
        <w:t>)</w:t>
      </w:r>
      <w:r w:rsidR="00EA2489" w:rsidRPr="00EA2489">
        <w:t xml:space="preserve">&amp; </w:t>
      </w:r>
      <w:r>
        <w:t>South East Asian Ministers of Education Organization (</w:t>
      </w:r>
      <w:r w:rsidRPr="00EA2489">
        <w:t>SEAMEO</w:t>
      </w:r>
      <w:r>
        <w:t>).</w:t>
      </w:r>
      <w:r w:rsidRPr="00EA2489" w:rsidDel="009820E9">
        <w:t xml:space="preserve"> </w:t>
      </w:r>
      <w:r w:rsidR="00EA2489" w:rsidRPr="00EA2489">
        <w:t xml:space="preserve">(2018). </w:t>
      </w:r>
      <w:r w:rsidR="00EA2489" w:rsidRPr="00797ECC">
        <w:rPr>
          <w:i/>
        </w:rPr>
        <w:t>P</w:t>
      </w:r>
      <w:r w:rsidR="00EA2489" w:rsidRPr="00EA2489">
        <w:t>u</w:t>
      </w:r>
      <w:r w:rsidR="00EA2489" w:rsidRPr="00797ECC">
        <w:rPr>
          <w:i/>
        </w:rPr>
        <w:t xml:space="preserve">rsuing </w:t>
      </w:r>
      <w:r w:rsidRPr="009820E9">
        <w:rPr>
          <w:i/>
        </w:rPr>
        <w:t xml:space="preserve">quality in early learning </w:t>
      </w:r>
      <w:r w:rsidR="00EA2489" w:rsidRPr="00797ECC">
        <w:rPr>
          <w:i/>
        </w:rPr>
        <w:t xml:space="preserve">Vol. 1 / Early </w:t>
      </w:r>
      <w:r w:rsidRPr="009820E9">
        <w:rPr>
          <w:i/>
        </w:rPr>
        <w:t xml:space="preserve">childhood care and education </w:t>
      </w:r>
      <w:r w:rsidR="00EA2489" w:rsidRPr="00797ECC">
        <w:rPr>
          <w:i/>
        </w:rPr>
        <w:t xml:space="preserve">(ECCE) Teacher </w:t>
      </w:r>
      <w:r w:rsidRPr="009820E9">
        <w:rPr>
          <w:i/>
        </w:rPr>
        <w:t xml:space="preserve">competency framework for </w:t>
      </w:r>
      <w:r w:rsidR="00EA2489" w:rsidRPr="00797ECC">
        <w:rPr>
          <w:i/>
        </w:rPr>
        <w:t xml:space="preserve">Southeast Asia (SEA). </w:t>
      </w:r>
      <w:r w:rsidR="00EA2489" w:rsidRPr="00EA2489">
        <w:t>Paris &amp; Bangkok: UNESCO &amp; SEAMEO.</w:t>
      </w:r>
    </w:p>
    <w:p w14:paraId="1323B415" w14:textId="77777777" w:rsidR="00C47FE0" w:rsidRDefault="00C47FE0" w:rsidP="00AB7D16">
      <w:pPr>
        <w:spacing w:after="120" w:line="240" w:lineRule="atLeast"/>
      </w:pPr>
    </w:p>
    <w:p w14:paraId="5BC04E1D" w14:textId="77777777" w:rsidR="00AB7D16" w:rsidRDefault="00AB7D16" w:rsidP="00C47FE0">
      <w:pPr>
        <w:sectPr w:rsidR="00AB7D16" w:rsidSect="00EA7E1A">
          <w:footerReference w:type="even" r:id="rId11"/>
          <w:footerReference w:type="default" r:id="rId12"/>
          <w:footerReference w:type="first" r:id="rId13"/>
          <w:pgSz w:w="12240" w:h="15840"/>
          <w:pgMar w:top="1440" w:right="1440" w:bottom="1080" w:left="1440" w:header="720" w:footer="720" w:gutter="0"/>
          <w:cols w:space="720"/>
          <w:titlePg/>
        </w:sectPr>
      </w:pPr>
    </w:p>
    <w:p w14:paraId="7B81891F" w14:textId="11B174AA" w:rsidR="00C47FE0" w:rsidRDefault="005F1B34" w:rsidP="009C6721">
      <w:pPr>
        <w:pStyle w:val="Heading2"/>
        <w:spacing w:before="160"/>
        <w:jc w:val="right"/>
      </w:pPr>
      <w:r>
        <w:rPr>
          <w:rFonts w:ascii="Arial Bold" w:hAnsi="Arial Bold" w:cs="Times New Roman"/>
          <w:caps w:val="0"/>
          <w:color w:val="0067B9"/>
        </w:rPr>
        <w:t>For further information, please contact</w:t>
      </w:r>
      <w:r w:rsidR="00C055EF">
        <w:rPr>
          <w:rFonts w:ascii="Arial Bold" w:hAnsi="Arial Bold" w:cs="Times New Roman"/>
          <w:caps w:val="0"/>
          <w:color w:val="0067B9"/>
        </w:rPr>
        <w:t>:</w:t>
      </w:r>
    </w:p>
    <w:p w14:paraId="33765B41" w14:textId="77777777" w:rsidR="00A0430E" w:rsidRPr="00E74C27" w:rsidRDefault="00AB7D16" w:rsidP="009C6721">
      <w:pPr>
        <w:pStyle w:val="Heading2"/>
        <w:spacing w:before="80"/>
        <w:jc w:val="right"/>
        <w:rPr>
          <w:sz w:val="18"/>
          <w:szCs w:val="18"/>
        </w:rPr>
      </w:pPr>
      <w:r>
        <w:rPr>
          <w:b w:val="0"/>
          <w:bCs w:val="0"/>
          <w:caps w:val="0"/>
          <w:color w:val="7F7F7F" w:themeColor="text1" w:themeTint="80"/>
          <w:sz w:val="18"/>
          <w:szCs w:val="18"/>
        </w:rPr>
        <w:t xml:space="preserve">Mitch Kirby, </w:t>
      </w:r>
      <w:r w:rsidRPr="009D1648">
        <w:rPr>
          <w:b w:val="0"/>
          <w:bCs w:val="0"/>
          <w:caps w:val="0"/>
          <w:color w:val="7F7F7F" w:themeColor="text1" w:themeTint="80"/>
          <w:sz w:val="18"/>
          <w:szCs w:val="18"/>
        </w:rPr>
        <w:t>USAID Asia Bureau</w:t>
      </w:r>
      <w:r>
        <w:rPr>
          <w:b w:val="0"/>
          <w:bCs w:val="0"/>
          <w:caps w:val="0"/>
          <w:color w:val="7F7F7F" w:themeColor="text1" w:themeTint="80"/>
          <w:sz w:val="18"/>
          <w:szCs w:val="18"/>
        </w:rPr>
        <w:t xml:space="preserve">, </w:t>
      </w:r>
      <w:r w:rsidRPr="009D1648">
        <w:rPr>
          <w:b w:val="0"/>
          <w:bCs w:val="0"/>
          <w:caps w:val="0"/>
          <w:color w:val="7F7F7F" w:themeColor="text1" w:themeTint="80"/>
          <w:sz w:val="18"/>
          <w:szCs w:val="18"/>
        </w:rPr>
        <w:t>Senior Education Advisor</w:t>
      </w:r>
      <w:r>
        <w:rPr>
          <w:b w:val="0"/>
          <w:bCs w:val="0"/>
          <w:caps w:val="0"/>
          <w:color w:val="7F7F7F" w:themeColor="text1" w:themeTint="80"/>
          <w:sz w:val="18"/>
          <w:szCs w:val="18"/>
        </w:rPr>
        <w:t xml:space="preserve">, </w:t>
      </w:r>
      <w:r w:rsidRPr="00E74C27">
        <w:rPr>
          <w:b w:val="0"/>
          <w:bCs w:val="0"/>
          <w:caps w:val="0"/>
          <w:color w:val="7F7F7F" w:themeColor="text1" w:themeTint="80"/>
          <w:sz w:val="18"/>
          <w:szCs w:val="18"/>
        </w:rPr>
        <w:t>mkirby@usaid.gov</w:t>
      </w:r>
    </w:p>
    <w:sectPr w:rsidR="00A0430E" w:rsidRPr="00E74C27" w:rsidSect="00AB7D16">
      <w:footerReference w:type="even" r:id="rId14"/>
      <w:footerReference w:type="default" r:id="rId15"/>
      <w:footerReference w:type="first" r:id="rId1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CB4C" w14:textId="77777777" w:rsidR="00CB3C84" w:rsidRDefault="00CB3C84" w:rsidP="007D52EF">
      <w:r>
        <w:separator/>
      </w:r>
    </w:p>
    <w:p w14:paraId="0A7203F2" w14:textId="77777777" w:rsidR="00CB3C84" w:rsidRDefault="00CB3C84" w:rsidP="007D52EF"/>
    <w:p w14:paraId="530E0C84" w14:textId="77777777" w:rsidR="00CB3C84" w:rsidRDefault="00CB3C84" w:rsidP="007D52EF"/>
    <w:p w14:paraId="5D03073B" w14:textId="77777777" w:rsidR="00CB3C84" w:rsidRDefault="00CB3C84"/>
  </w:endnote>
  <w:endnote w:type="continuationSeparator" w:id="0">
    <w:p w14:paraId="2AA9CE7C" w14:textId="77777777" w:rsidR="00CB3C84" w:rsidRDefault="00CB3C84" w:rsidP="007D52EF">
      <w:r>
        <w:continuationSeparator/>
      </w:r>
    </w:p>
    <w:p w14:paraId="4F63421D" w14:textId="77777777" w:rsidR="00CB3C84" w:rsidRDefault="00CB3C84" w:rsidP="007D52EF"/>
    <w:p w14:paraId="2DEC2EEC" w14:textId="77777777" w:rsidR="00CB3C84" w:rsidRDefault="00CB3C84" w:rsidP="007D52EF"/>
    <w:p w14:paraId="58D0EC26" w14:textId="77777777" w:rsidR="00CB3C84" w:rsidRDefault="00CB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TIXVariants-Bold">
    <w:altName w:val="Times New Roman"/>
    <w:panose1 w:val="00000000000000000000"/>
    <w:charset w:val="4D"/>
    <w:family w:val="auto"/>
    <w:notTrueType/>
    <w:pitch w:val="variable"/>
    <w:sig w:usb0="8000000B" w:usb1="00000068" w:usb2="00000000" w:usb3="00000000" w:csb0="8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AF886" w14:textId="77777777" w:rsidR="00564E0B" w:rsidRDefault="00564E0B"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D1B33" w14:textId="77777777" w:rsidR="00564E0B" w:rsidRDefault="00564E0B" w:rsidP="00585B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0620" w14:textId="77777777" w:rsidR="00564E0B" w:rsidRPr="00585B47" w:rsidRDefault="00564E0B"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sidR="00C24AEF">
      <w:rPr>
        <w:rStyle w:val="PageNumber"/>
        <w:b/>
        <w:noProof/>
      </w:rPr>
      <w:t>2</w:t>
    </w:r>
    <w:r w:rsidRPr="00585B47">
      <w:rPr>
        <w:rStyle w:val="PageNumber"/>
        <w:b/>
      </w:rPr>
      <w:fldChar w:fldCharType="end"/>
    </w:r>
  </w:p>
  <w:p w14:paraId="0A0BBC2A" w14:textId="76578462" w:rsidR="00564E0B" w:rsidRPr="00585B47" w:rsidRDefault="00C17B4C" w:rsidP="00332D80">
    <w:pPr>
      <w:pStyle w:val="Footer"/>
      <w:tabs>
        <w:tab w:val="clear" w:pos="4320"/>
        <w:tab w:val="clear" w:pos="8640"/>
        <w:tab w:val="right" w:pos="8910"/>
      </w:tabs>
      <w:ind w:right="360"/>
      <w:rPr>
        <w:b/>
        <w:bCs/>
      </w:rPr>
    </w:pPr>
    <w:r>
      <w:t>All Children Reading – Asia</w:t>
    </w:r>
    <w:r>
      <w:tab/>
      <w:t xml:space="preserve">ECE – Early </w:t>
    </w:r>
    <w:r w:rsidR="009820E9">
      <w:t>chlidhood educators</w:t>
    </w:r>
    <w:r w:rsidR="00564E0B" w:rsidRPr="00F546D8">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CC50" w14:textId="77777777" w:rsidR="00564E0B" w:rsidRPr="00392DE6" w:rsidRDefault="00564E0B" w:rsidP="00C47FE0">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sidR="00C24AEF">
      <w:rPr>
        <w:rStyle w:val="PageNumber"/>
        <w:b/>
        <w:noProof/>
      </w:rPr>
      <w:t>1</w:t>
    </w:r>
    <w:r w:rsidRPr="00392DE6">
      <w:rPr>
        <w:rStyle w:val="PageNumber"/>
        <w:b/>
      </w:rPr>
      <w:fldChar w:fldCharType="end"/>
    </w:r>
  </w:p>
  <w:p w14:paraId="22FCE604" w14:textId="167E91AD" w:rsidR="00564E0B" w:rsidRPr="00392DE6" w:rsidRDefault="00C17B4C" w:rsidP="00C17B4C">
    <w:pPr>
      <w:pStyle w:val="Footer"/>
      <w:tabs>
        <w:tab w:val="clear" w:pos="4320"/>
        <w:tab w:val="clear" w:pos="8640"/>
        <w:tab w:val="right" w:pos="9000"/>
      </w:tabs>
      <w:ind w:right="360"/>
      <w:rPr>
        <w:b/>
        <w:bCs/>
      </w:rPr>
    </w:pPr>
    <w:r>
      <w:t>All Children Reading – Asia</w:t>
    </w:r>
    <w:r>
      <w:tab/>
      <w:t xml:space="preserve">ECE – </w:t>
    </w:r>
    <w:r w:rsidR="00810590">
      <w:t>early childhood educators</w:t>
    </w:r>
    <w:r>
      <w:t xml:space="preserve">   </w:t>
    </w:r>
    <w:r w:rsidRPr="00F546D8">
      <w:t>|</w:t>
    </w:r>
    <w:r w:rsidR="00564E0B" w:rsidRPr="00F546D8">
      <w:t xml:space="preserve">   </w:t>
    </w:r>
    <w:r>
      <w:t xml:space="preserve">  </w:t>
    </w:r>
    <w:r w:rsidR="00564E0B" w:rsidRPr="00F546D8">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AA0D" w14:textId="77777777" w:rsidR="00564E0B" w:rsidRDefault="00564E0B" w:rsidP="00E95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18F3C" w14:textId="77777777" w:rsidR="00564E0B" w:rsidRDefault="00564E0B" w:rsidP="00585B47">
    <w:pPr>
      <w:pStyle w:val="Footer"/>
      <w:ind w:right="360"/>
    </w:pPr>
  </w:p>
  <w:p w14:paraId="7AE0DAD1" w14:textId="77777777" w:rsidR="004D7401" w:rsidRDefault="004D740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362F" w14:textId="77777777" w:rsidR="00564E0B" w:rsidRPr="00585B47" w:rsidRDefault="00564E0B" w:rsidP="00E952A7">
    <w:pPr>
      <w:pStyle w:val="Footer"/>
      <w:framePr w:wrap="around" w:vAnchor="text" w:hAnchor="margin" w:xAlign="right" w:y="1"/>
      <w:rPr>
        <w:rStyle w:val="PageNumber"/>
        <w:b/>
      </w:rPr>
    </w:pPr>
    <w:r w:rsidRPr="00585B47">
      <w:rPr>
        <w:rStyle w:val="PageNumber"/>
        <w:b/>
      </w:rPr>
      <w:fldChar w:fldCharType="begin"/>
    </w:r>
    <w:r w:rsidRPr="00585B47">
      <w:rPr>
        <w:rStyle w:val="PageNumber"/>
        <w:b/>
      </w:rPr>
      <w:instrText xml:space="preserve">PAGE  </w:instrText>
    </w:r>
    <w:r w:rsidRPr="00585B47">
      <w:rPr>
        <w:rStyle w:val="PageNumber"/>
        <w:b/>
      </w:rPr>
      <w:fldChar w:fldCharType="separate"/>
    </w:r>
    <w:r>
      <w:rPr>
        <w:rStyle w:val="PageNumber"/>
        <w:b/>
        <w:noProof/>
      </w:rPr>
      <w:t>3</w:t>
    </w:r>
    <w:r w:rsidRPr="00585B47">
      <w:rPr>
        <w:rStyle w:val="PageNumber"/>
        <w:b/>
      </w:rPr>
      <w:fldChar w:fldCharType="end"/>
    </w:r>
  </w:p>
  <w:p w14:paraId="39E67E58" w14:textId="77777777" w:rsidR="00564E0B" w:rsidRPr="00585B47" w:rsidRDefault="00564E0B" w:rsidP="00157443">
    <w:pPr>
      <w:pStyle w:val="Footer"/>
      <w:tabs>
        <w:tab w:val="clear" w:pos="4320"/>
        <w:tab w:val="clear" w:pos="8640"/>
        <w:tab w:val="center" w:pos="4680"/>
        <w:tab w:val="right" w:pos="9360"/>
      </w:tabs>
      <w:ind w:right="360"/>
      <w:rPr>
        <w:b/>
        <w:bCs/>
      </w:rPr>
    </w:pPr>
    <w:r w:rsidRPr="006770C3">
      <w:t>usaid.gov</w:t>
    </w:r>
    <w:r>
      <w:tab/>
    </w:r>
    <w:r w:rsidRPr="00F546D8">
      <w:tab/>
      <w:t xml:space="preserve">USAID Fact Sheet title Here      |      </w:t>
    </w:r>
  </w:p>
  <w:p w14:paraId="5A89C491" w14:textId="77777777" w:rsidR="004D7401" w:rsidRDefault="004D740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7DCE" w14:textId="77777777" w:rsidR="00564E0B" w:rsidRPr="00392DE6" w:rsidRDefault="00564E0B" w:rsidP="00E66F2F">
    <w:pPr>
      <w:pStyle w:val="Footer"/>
      <w:framePr w:wrap="around" w:vAnchor="text" w:hAnchor="margin" w:xAlign="right" w:y="1"/>
      <w:rPr>
        <w:rStyle w:val="PageNumber"/>
        <w:b/>
      </w:rPr>
    </w:pPr>
    <w:r w:rsidRPr="00392DE6">
      <w:rPr>
        <w:rStyle w:val="PageNumber"/>
        <w:b/>
      </w:rPr>
      <w:fldChar w:fldCharType="begin"/>
    </w:r>
    <w:r w:rsidRPr="00392DE6">
      <w:rPr>
        <w:rStyle w:val="PageNumber"/>
        <w:b/>
      </w:rPr>
      <w:instrText xml:space="preserve">PAGE  </w:instrText>
    </w:r>
    <w:r w:rsidRPr="00392DE6">
      <w:rPr>
        <w:rStyle w:val="PageNumber"/>
        <w:b/>
      </w:rPr>
      <w:fldChar w:fldCharType="separate"/>
    </w:r>
    <w:r>
      <w:rPr>
        <w:rStyle w:val="PageNumber"/>
        <w:b/>
        <w:noProof/>
      </w:rPr>
      <w:t>3</w:t>
    </w:r>
    <w:r w:rsidRPr="00392DE6">
      <w:rPr>
        <w:rStyle w:val="PageNumber"/>
        <w:b/>
      </w:rPr>
      <w:fldChar w:fldCharType="end"/>
    </w:r>
  </w:p>
  <w:p w14:paraId="521E044D" w14:textId="77777777" w:rsidR="00564E0B" w:rsidRPr="00392DE6" w:rsidRDefault="00564E0B" w:rsidP="00157443">
    <w:pPr>
      <w:pStyle w:val="Footer"/>
      <w:tabs>
        <w:tab w:val="clear" w:pos="4320"/>
        <w:tab w:val="clear" w:pos="8640"/>
        <w:tab w:val="center" w:pos="4680"/>
        <w:tab w:val="right" w:pos="9360"/>
      </w:tabs>
      <w:ind w:right="360"/>
      <w:rPr>
        <w:b/>
        <w:bCs/>
      </w:rPr>
    </w:pPr>
    <w:r w:rsidRPr="006770C3">
      <w:t>usaid.gov</w:t>
    </w:r>
    <w:r>
      <w:tab/>
    </w:r>
    <w:r w:rsidRPr="00F546D8">
      <w:tab/>
      <w:t xml:space="preserve">USAID Fact Sheet title Here      |      </w:t>
    </w:r>
  </w:p>
  <w:p w14:paraId="6497EE37" w14:textId="77777777" w:rsidR="004D7401" w:rsidRDefault="004D7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A94D" w14:textId="77777777" w:rsidR="00CB3C84" w:rsidRDefault="00CB3C84" w:rsidP="007D52EF">
      <w:r>
        <w:separator/>
      </w:r>
    </w:p>
    <w:p w14:paraId="752ACB35" w14:textId="77777777" w:rsidR="00CB3C84" w:rsidRDefault="00CB3C84" w:rsidP="007D52EF"/>
    <w:p w14:paraId="05C2A11A" w14:textId="77777777" w:rsidR="00CB3C84" w:rsidRDefault="00CB3C84" w:rsidP="007D52EF"/>
    <w:p w14:paraId="16AB04D7" w14:textId="77777777" w:rsidR="00CB3C84" w:rsidRDefault="00CB3C84"/>
  </w:footnote>
  <w:footnote w:type="continuationSeparator" w:id="0">
    <w:p w14:paraId="31B5B01A" w14:textId="77777777" w:rsidR="00CB3C84" w:rsidRDefault="00CB3C84" w:rsidP="007D52EF">
      <w:r>
        <w:continuationSeparator/>
      </w:r>
    </w:p>
    <w:p w14:paraId="22319AFB" w14:textId="77777777" w:rsidR="00CB3C84" w:rsidRDefault="00CB3C84" w:rsidP="007D52EF"/>
    <w:p w14:paraId="6413583D" w14:textId="77777777" w:rsidR="00CB3C84" w:rsidRDefault="00CB3C84" w:rsidP="007D52EF"/>
    <w:p w14:paraId="552CF9D2" w14:textId="77777777" w:rsidR="00CB3C84" w:rsidRDefault="00CB3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52FEC"/>
    <w:multiLevelType w:val="multilevel"/>
    <w:tmpl w:val="5556453C"/>
    <w:lvl w:ilvl="0">
      <w:start w:val="1"/>
      <w:numFmt w:val="bullet"/>
      <w:lvlText w:val=""/>
      <w:lvlJc w:val="left"/>
      <w:pPr>
        <w:ind w:left="180" w:hanging="180"/>
      </w:pPr>
      <w:rPr>
        <w:rFonts w:ascii="Symbol" w:hAnsi="Symbol" w:hint="default"/>
        <w:b w:val="0"/>
        <w:i w:val="0"/>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1891772"/>
    <w:multiLevelType w:val="hybridMultilevel"/>
    <w:tmpl w:val="6E5E6E74"/>
    <w:lvl w:ilvl="0" w:tplc="D41CB536">
      <w:start w:val="1"/>
      <w:numFmt w:val="bullet"/>
      <w:lvlText w:val=""/>
      <w:lvlJc w:val="left"/>
      <w:pPr>
        <w:ind w:left="360" w:hanging="36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126D97"/>
    <w:multiLevelType w:val="hybridMultilevel"/>
    <w:tmpl w:val="274CF248"/>
    <w:lvl w:ilvl="0" w:tplc="8834D3E2">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2F61BB"/>
    <w:multiLevelType w:val="hybridMultilevel"/>
    <w:tmpl w:val="129E93D0"/>
    <w:lvl w:ilvl="0" w:tplc="032C163C">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50840"/>
    <w:multiLevelType w:val="hybridMultilevel"/>
    <w:tmpl w:val="5F0E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A5595"/>
    <w:multiLevelType w:val="hybridMultilevel"/>
    <w:tmpl w:val="19D2E386"/>
    <w:lvl w:ilvl="0" w:tplc="2D0A4C96">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445661"/>
    <w:multiLevelType w:val="hybridMultilevel"/>
    <w:tmpl w:val="AB789908"/>
    <w:lvl w:ilvl="0" w:tplc="5F603ABC">
      <w:start w:val="1"/>
      <w:numFmt w:val="bullet"/>
      <w:pStyle w:val="Tabelcellbullet"/>
      <w:lvlText w:val=""/>
      <w:lvlJc w:val="left"/>
      <w:pPr>
        <w:ind w:left="180" w:hanging="180"/>
      </w:pPr>
      <w:rPr>
        <w:rFonts w:ascii="Symbol" w:hAnsi="Symbol" w:hint="default"/>
        <w:b w:val="0"/>
        <w:i w:val="0"/>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601D0"/>
    <w:multiLevelType w:val="hybridMultilevel"/>
    <w:tmpl w:val="841A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384F"/>
    <w:multiLevelType w:val="hybridMultilevel"/>
    <w:tmpl w:val="F110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B1C80"/>
    <w:multiLevelType w:val="multilevel"/>
    <w:tmpl w:val="3F843580"/>
    <w:lvl w:ilvl="0">
      <w:start w:val="1"/>
      <w:numFmt w:val="bullet"/>
      <w:lvlText w:val=""/>
      <w:lvlJc w:val="left"/>
      <w:pPr>
        <w:ind w:left="180" w:hanging="180"/>
      </w:pPr>
      <w:rPr>
        <w:rFonts w:ascii="Symbol" w:hAnsi="Symbol" w:hint="default"/>
        <w:b w:val="0"/>
        <w:i/>
        <w:sz w:val="1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F66FC3"/>
    <w:multiLevelType w:val="hybridMultilevel"/>
    <w:tmpl w:val="9B08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A2CD0"/>
    <w:multiLevelType w:val="hybridMultilevel"/>
    <w:tmpl w:val="A2A65D74"/>
    <w:lvl w:ilvl="0" w:tplc="A57AECDC">
      <w:start w:val="1"/>
      <w:numFmt w:val="bullet"/>
      <w:pStyle w:val="TableBullet"/>
      <w:lvlText w:val=""/>
      <w:lvlJc w:val="left"/>
      <w:pPr>
        <w:tabs>
          <w:tab w:val="num" w:pos="105"/>
        </w:tabs>
        <w:ind w:left="825"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550C2"/>
    <w:multiLevelType w:val="hybridMultilevel"/>
    <w:tmpl w:val="EDB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7C7445"/>
    <w:multiLevelType w:val="hybridMultilevel"/>
    <w:tmpl w:val="98F6C472"/>
    <w:lvl w:ilvl="0" w:tplc="E52C5420">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11141"/>
    <w:multiLevelType w:val="hybridMultilevel"/>
    <w:tmpl w:val="478E91F2"/>
    <w:lvl w:ilvl="0" w:tplc="C3D8E190">
      <w:start w:val="1"/>
      <w:numFmt w:val="bullet"/>
      <w:lvlText w:val=""/>
      <w:lvlJc w:val="left"/>
      <w:pPr>
        <w:ind w:left="180" w:hanging="180"/>
      </w:pPr>
      <w:rPr>
        <w:rFonts w:ascii="Symbol" w:hAnsi="Symbol" w:hint="default"/>
        <w:b w:val="0"/>
        <w:i/>
        <w:sz w:val="15"/>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6"/>
  </w:num>
  <w:num w:numId="16">
    <w:abstractNumId w:val="17"/>
  </w:num>
  <w:num w:numId="17">
    <w:abstractNumId w:val="21"/>
  </w:num>
  <w:num w:numId="18">
    <w:abstractNumId w:val="19"/>
  </w:num>
  <w:num w:numId="19">
    <w:abstractNumId w:val="21"/>
  </w:num>
  <w:num w:numId="20">
    <w:abstractNumId w:val="19"/>
  </w:num>
  <w:num w:numId="21">
    <w:abstractNumId w:val="17"/>
  </w:num>
  <w:num w:numId="22">
    <w:abstractNumId w:val="28"/>
  </w:num>
  <w:num w:numId="23">
    <w:abstractNumId w:val="29"/>
  </w:num>
  <w:num w:numId="24">
    <w:abstractNumId w:val="12"/>
  </w:num>
  <w:num w:numId="25">
    <w:abstractNumId w:val="30"/>
  </w:num>
  <w:num w:numId="26">
    <w:abstractNumId w:val="15"/>
  </w:num>
  <w:num w:numId="27">
    <w:abstractNumId w:val="22"/>
  </w:num>
  <w:num w:numId="28">
    <w:abstractNumId w:val="25"/>
  </w:num>
  <w:num w:numId="29">
    <w:abstractNumId w:val="11"/>
  </w:num>
  <w:num w:numId="30">
    <w:abstractNumId w:val="27"/>
  </w:num>
  <w:num w:numId="31">
    <w:abstractNumId w:val="20"/>
  </w:num>
  <w:num w:numId="32">
    <w:abstractNumId w:val="26"/>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MjCytDAwNTQ0NbBQ0lEKTi0uzszPAykwrgUAYOd83iwAAAA="/>
  </w:docVars>
  <w:rsids>
    <w:rsidRoot w:val="00592E35"/>
    <w:rsid w:val="000121B3"/>
    <w:rsid w:val="000147C4"/>
    <w:rsid w:val="00022808"/>
    <w:rsid w:val="000253AA"/>
    <w:rsid w:val="00031972"/>
    <w:rsid w:val="00044A05"/>
    <w:rsid w:val="00046DC4"/>
    <w:rsid w:val="000504C6"/>
    <w:rsid w:val="0006439D"/>
    <w:rsid w:val="00072E28"/>
    <w:rsid w:val="0008229E"/>
    <w:rsid w:val="0008753D"/>
    <w:rsid w:val="000974B3"/>
    <w:rsid w:val="000B6A02"/>
    <w:rsid w:val="001018F3"/>
    <w:rsid w:val="00103FD7"/>
    <w:rsid w:val="0011553E"/>
    <w:rsid w:val="001160A9"/>
    <w:rsid w:val="0012645F"/>
    <w:rsid w:val="00132027"/>
    <w:rsid w:val="00147E45"/>
    <w:rsid w:val="00157443"/>
    <w:rsid w:val="00163257"/>
    <w:rsid w:val="001657C4"/>
    <w:rsid w:val="0017385B"/>
    <w:rsid w:val="00177F80"/>
    <w:rsid w:val="00187D08"/>
    <w:rsid w:val="001A49DF"/>
    <w:rsid w:val="001B5625"/>
    <w:rsid w:val="001B5B22"/>
    <w:rsid w:val="001C05D8"/>
    <w:rsid w:val="001C6ABC"/>
    <w:rsid w:val="001F416D"/>
    <w:rsid w:val="001F5967"/>
    <w:rsid w:val="00200578"/>
    <w:rsid w:val="00214CE1"/>
    <w:rsid w:val="002155A3"/>
    <w:rsid w:val="00230744"/>
    <w:rsid w:val="00244A47"/>
    <w:rsid w:val="002533AE"/>
    <w:rsid w:val="00254173"/>
    <w:rsid w:val="0026454D"/>
    <w:rsid w:val="00267BF9"/>
    <w:rsid w:val="002729ED"/>
    <w:rsid w:val="002745D3"/>
    <w:rsid w:val="0027708E"/>
    <w:rsid w:val="00282B1E"/>
    <w:rsid w:val="0028350E"/>
    <w:rsid w:val="00295257"/>
    <w:rsid w:val="002B1B8B"/>
    <w:rsid w:val="002B2502"/>
    <w:rsid w:val="002B667C"/>
    <w:rsid w:val="002C24B2"/>
    <w:rsid w:val="002E0292"/>
    <w:rsid w:val="0031195C"/>
    <w:rsid w:val="00312D7C"/>
    <w:rsid w:val="003169FD"/>
    <w:rsid w:val="003263D2"/>
    <w:rsid w:val="00326645"/>
    <w:rsid w:val="00327C17"/>
    <w:rsid w:val="00332D80"/>
    <w:rsid w:val="00333E6D"/>
    <w:rsid w:val="0034548E"/>
    <w:rsid w:val="00353651"/>
    <w:rsid w:val="00354983"/>
    <w:rsid w:val="00355595"/>
    <w:rsid w:val="00362338"/>
    <w:rsid w:val="00365267"/>
    <w:rsid w:val="00365C72"/>
    <w:rsid w:val="00382EA6"/>
    <w:rsid w:val="0038597B"/>
    <w:rsid w:val="003867FA"/>
    <w:rsid w:val="00392DE6"/>
    <w:rsid w:val="003932CE"/>
    <w:rsid w:val="003959E8"/>
    <w:rsid w:val="003B7455"/>
    <w:rsid w:val="003C1E3E"/>
    <w:rsid w:val="003C1EF8"/>
    <w:rsid w:val="003D18CC"/>
    <w:rsid w:val="003D2E8F"/>
    <w:rsid w:val="003D40A9"/>
    <w:rsid w:val="003E383E"/>
    <w:rsid w:val="003F61F9"/>
    <w:rsid w:val="00405B27"/>
    <w:rsid w:val="00407541"/>
    <w:rsid w:val="00410FC2"/>
    <w:rsid w:val="004317FD"/>
    <w:rsid w:val="00434EC2"/>
    <w:rsid w:val="004451BB"/>
    <w:rsid w:val="00447904"/>
    <w:rsid w:val="00451E9F"/>
    <w:rsid w:val="00452CE4"/>
    <w:rsid w:val="004570E8"/>
    <w:rsid w:val="004627B7"/>
    <w:rsid w:val="0047203F"/>
    <w:rsid w:val="0047207C"/>
    <w:rsid w:val="0047357E"/>
    <w:rsid w:val="00483E0F"/>
    <w:rsid w:val="00484251"/>
    <w:rsid w:val="00490F2A"/>
    <w:rsid w:val="004A6A41"/>
    <w:rsid w:val="004B1B46"/>
    <w:rsid w:val="004C608B"/>
    <w:rsid w:val="004D7401"/>
    <w:rsid w:val="004F0BA6"/>
    <w:rsid w:val="005005B1"/>
    <w:rsid w:val="00503B61"/>
    <w:rsid w:val="0050460B"/>
    <w:rsid w:val="00511473"/>
    <w:rsid w:val="00512481"/>
    <w:rsid w:val="0051301E"/>
    <w:rsid w:val="00520A7B"/>
    <w:rsid w:val="00521CC3"/>
    <w:rsid w:val="00524469"/>
    <w:rsid w:val="0054277D"/>
    <w:rsid w:val="00553935"/>
    <w:rsid w:val="00554A4E"/>
    <w:rsid w:val="00557588"/>
    <w:rsid w:val="005635B6"/>
    <w:rsid w:val="00564E0B"/>
    <w:rsid w:val="00565CE4"/>
    <w:rsid w:val="00574A5C"/>
    <w:rsid w:val="00576418"/>
    <w:rsid w:val="0058089D"/>
    <w:rsid w:val="00585B47"/>
    <w:rsid w:val="00592E35"/>
    <w:rsid w:val="0059484A"/>
    <w:rsid w:val="0059527E"/>
    <w:rsid w:val="005C5545"/>
    <w:rsid w:val="005C6916"/>
    <w:rsid w:val="005C74B1"/>
    <w:rsid w:val="005D13C3"/>
    <w:rsid w:val="005D19F5"/>
    <w:rsid w:val="005D3C83"/>
    <w:rsid w:val="005D4ED7"/>
    <w:rsid w:val="005E7214"/>
    <w:rsid w:val="005F1B34"/>
    <w:rsid w:val="005F515E"/>
    <w:rsid w:val="006111DF"/>
    <w:rsid w:val="00627212"/>
    <w:rsid w:val="00633C2A"/>
    <w:rsid w:val="00642BA9"/>
    <w:rsid w:val="0065050D"/>
    <w:rsid w:val="006535AC"/>
    <w:rsid w:val="00655014"/>
    <w:rsid w:val="006573B1"/>
    <w:rsid w:val="00657788"/>
    <w:rsid w:val="00657CA6"/>
    <w:rsid w:val="006770C3"/>
    <w:rsid w:val="0068304E"/>
    <w:rsid w:val="00692463"/>
    <w:rsid w:val="00692E13"/>
    <w:rsid w:val="006B13E8"/>
    <w:rsid w:val="006B6E07"/>
    <w:rsid w:val="006D2A19"/>
    <w:rsid w:val="006D499D"/>
    <w:rsid w:val="006D67A6"/>
    <w:rsid w:val="006D6A7B"/>
    <w:rsid w:val="006F4DF5"/>
    <w:rsid w:val="006F7D50"/>
    <w:rsid w:val="007017EE"/>
    <w:rsid w:val="0070754E"/>
    <w:rsid w:val="00710A13"/>
    <w:rsid w:val="007111DE"/>
    <w:rsid w:val="00723F43"/>
    <w:rsid w:val="007322D7"/>
    <w:rsid w:val="007475F4"/>
    <w:rsid w:val="00752148"/>
    <w:rsid w:val="00754798"/>
    <w:rsid w:val="00763957"/>
    <w:rsid w:val="00766C1F"/>
    <w:rsid w:val="00773004"/>
    <w:rsid w:val="00775C76"/>
    <w:rsid w:val="00781224"/>
    <w:rsid w:val="00797ECC"/>
    <w:rsid w:val="007A1993"/>
    <w:rsid w:val="007A3408"/>
    <w:rsid w:val="007A5737"/>
    <w:rsid w:val="007B156F"/>
    <w:rsid w:val="007B3276"/>
    <w:rsid w:val="007B5427"/>
    <w:rsid w:val="007B6C40"/>
    <w:rsid w:val="007B6DA6"/>
    <w:rsid w:val="007D52EF"/>
    <w:rsid w:val="007E244B"/>
    <w:rsid w:val="007F265F"/>
    <w:rsid w:val="007F4222"/>
    <w:rsid w:val="007F52A7"/>
    <w:rsid w:val="00802A3A"/>
    <w:rsid w:val="00810590"/>
    <w:rsid w:val="00815469"/>
    <w:rsid w:val="008243A8"/>
    <w:rsid w:val="008326AF"/>
    <w:rsid w:val="008371FB"/>
    <w:rsid w:val="008415B4"/>
    <w:rsid w:val="00847292"/>
    <w:rsid w:val="008510BC"/>
    <w:rsid w:val="00854EDE"/>
    <w:rsid w:val="00855BC0"/>
    <w:rsid w:val="008607CA"/>
    <w:rsid w:val="008915D2"/>
    <w:rsid w:val="00895C95"/>
    <w:rsid w:val="008E7AEC"/>
    <w:rsid w:val="00902105"/>
    <w:rsid w:val="00903DB3"/>
    <w:rsid w:val="00905FBE"/>
    <w:rsid w:val="00914102"/>
    <w:rsid w:val="00916964"/>
    <w:rsid w:val="0092096B"/>
    <w:rsid w:val="00921F43"/>
    <w:rsid w:val="00922364"/>
    <w:rsid w:val="00922D2D"/>
    <w:rsid w:val="00925EF6"/>
    <w:rsid w:val="009261FC"/>
    <w:rsid w:val="00942693"/>
    <w:rsid w:val="00942B5F"/>
    <w:rsid w:val="00960CE6"/>
    <w:rsid w:val="009675BD"/>
    <w:rsid w:val="0097197F"/>
    <w:rsid w:val="00973151"/>
    <w:rsid w:val="00976D29"/>
    <w:rsid w:val="009820E9"/>
    <w:rsid w:val="009A019F"/>
    <w:rsid w:val="009A5689"/>
    <w:rsid w:val="009B1CD3"/>
    <w:rsid w:val="009C6721"/>
    <w:rsid w:val="009F77F4"/>
    <w:rsid w:val="00A0430E"/>
    <w:rsid w:val="00A0472B"/>
    <w:rsid w:val="00A24A26"/>
    <w:rsid w:val="00A31AD7"/>
    <w:rsid w:val="00A3478E"/>
    <w:rsid w:val="00A36C94"/>
    <w:rsid w:val="00A4660A"/>
    <w:rsid w:val="00A504AD"/>
    <w:rsid w:val="00A600E9"/>
    <w:rsid w:val="00A63F78"/>
    <w:rsid w:val="00A662D1"/>
    <w:rsid w:val="00A66749"/>
    <w:rsid w:val="00A70620"/>
    <w:rsid w:val="00A727CB"/>
    <w:rsid w:val="00A75E30"/>
    <w:rsid w:val="00A8305B"/>
    <w:rsid w:val="00A83963"/>
    <w:rsid w:val="00A87594"/>
    <w:rsid w:val="00A96BC3"/>
    <w:rsid w:val="00A96E7E"/>
    <w:rsid w:val="00AA0E9D"/>
    <w:rsid w:val="00AB1BC1"/>
    <w:rsid w:val="00AB3DD8"/>
    <w:rsid w:val="00AB7D16"/>
    <w:rsid w:val="00AC002E"/>
    <w:rsid w:val="00AC2ED2"/>
    <w:rsid w:val="00AC626C"/>
    <w:rsid w:val="00AD315C"/>
    <w:rsid w:val="00AE0CC0"/>
    <w:rsid w:val="00AF0F01"/>
    <w:rsid w:val="00B00E0C"/>
    <w:rsid w:val="00B01AC2"/>
    <w:rsid w:val="00B02B71"/>
    <w:rsid w:val="00B04623"/>
    <w:rsid w:val="00B25A40"/>
    <w:rsid w:val="00B312F4"/>
    <w:rsid w:val="00B32223"/>
    <w:rsid w:val="00B50524"/>
    <w:rsid w:val="00B5275A"/>
    <w:rsid w:val="00B705BB"/>
    <w:rsid w:val="00B86E6A"/>
    <w:rsid w:val="00B92DC4"/>
    <w:rsid w:val="00BA60B2"/>
    <w:rsid w:val="00BB754A"/>
    <w:rsid w:val="00BC484F"/>
    <w:rsid w:val="00BD0638"/>
    <w:rsid w:val="00BE4526"/>
    <w:rsid w:val="00BE58EA"/>
    <w:rsid w:val="00BE75B6"/>
    <w:rsid w:val="00BF74DB"/>
    <w:rsid w:val="00C04725"/>
    <w:rsid w:val="00C055EF"/>
    <w:rsid w:val="00C07DF2"/>
    <w:rsid w:val="00C105D0"/>
    <w:rsid w:val="00C12FA5"/>
    <w:rsid w:val="00C13441"/>
    <w:rsid w:val="00C14654"/>
    <w:rsid w:val="00C16323"/>
    <w:rsid w:val="00C1667B"/>
    <w:rsid w:val="00C16832"/>
    <w:rsid w:val="00C17B4C"/>
    <w:rsid w:val="00C24AEF"/>
    <w:rsid w:val="00C3754E"/>
    <w:rsid w:val="00C401C4"/>
    <w:rsid w:val="00C42548"/>
    <w:rsid w:val="00C45272"/>
    <w:rsid w:val="00C47FE0"/>
    <w:rsid w:val="00C530C2"/>
    <w:rsid w:val="00C65A24"/>
    <w:rsid w:val="00C710D8"/>
    <w:rsid w:val="00C71891"/>
    <w:rsid w:val="00C97733"/>
    <w:rsid w:val="00CA15D5"/>
    <w:rsid w:val="00CA20D9"/>
    <w:rsid w:val="00CA41F7"/>
    <w:rsid w:val="00CA4AF0"/>
    <w:rsid w:val="00CB3C84"/>
    <w:rsid w:val="00CB6259"/>
    <w:rsid w:val="00CD0218"/>
    <w:rsid w:val="00CD6114"/>
    <w:rsid w:val="00CF2489"/>
    <w:rsid w:val="00CF7297"/>
    <w:rsid w:val="00CF77E0"/>
    <w:rsid w:val="00D00679"/>
    <w:rsid w:val="00D0799C"/>
    <w:rsid w:val="00D1300F"/>
    <w:rsid w:val="00D216D2"/>
    <w:rsid w:val="00D263E9"/>
    <w:rsid w:val="00D41318"/>
    <w:rsid w:val="00D63FBC"/>
    <w:rsid w:val="00D72C96"/>
    <w:rsid w:val="00D7527B"/>
    <w:rsid w:val="00D77C74"/>
    <w:rsid w:val="00D87A8E"/>
    <w:rsid w:val="00D91974"/>
    <w:rsid w:val="00D96C36"/>
    <w:rsid w:val="00DC26AA"/>
    <w:rsid w:val="00DD527E"/>
    <w:rsid w:val="00DE2AEF"/>
    <w:rsid w:val="00DE7319"/>
    <w:rsid w:val="00DF0E1F"/>
    <w:rsid w:val="00DF3609"/>
    <w:rsid w:val="00E02C14"/>
    <w:rsid w:val="00E170E5"/>
    <w:rsid w:val="00E22494"/>
    <w:rsid w:val="00E25B87"/>
    <w:rsid w:val="00E25FA1"/>
    <w:rsid w:val="00E50D20"/>
    <w:rsid w:val="00E57440"/>
    <w:rsid w:val="00E61066"/>
    <w:rsid w:val="00E635C1"/>
    <w:rsid w:val="00E66F2F"/>
    <w:rsid w:val="00E71296"/>
    <w:rsid w:val="00E74C27"/>
    <w:rsid w:val="00E81149"/>
    <w:rsid w:val="00E819ED"/>
    <w:rsid w:val="00E952A7"/>
    <w:rsid w:val="00EA0E47"/>
    <w:rsid w:val="00EA2489"/>
    <w:rsid w:val="00EA3F3F"/>
    <w:rsid w:val="00EA7E1A"/>
    <w:rsid w:val="00EB77F6"/>
    <w:rsid w:val="00EC30FA"/>
    <w:rsid w:val="00ED41A0"/>
    <w:rsid w:val="00ED57EC"/>
    <w:rsid w:val="00EE320F"/>
    <w:rsid w:val="00EF3B6C"/>
    <w:rsid w:val="00F1242C"/>
    <w:rsid w:val="00F210CA"/>
    <w:rsid w:val="00F2740F"/>
    <w:rsid w:val="00F32676"/>
    <w:rsid w:val="00F36B93"/>
    <w:rsid w:val="00F44322"/>
    <w:rsid w:val="00F4674C"/>
    <w:rsid w:val="00F52EC7"/>
    <w:rsid w:val="00F53879"/>
    <w:rsid w:val="00F546D8"/>
    <w:rsid w:val="00F56C08"/>
    <w:rsid w:val="00F66A44"/>
    <w:rsid w:val="00F70A83"/>
    <w:rsid w:val="00F822B5"/>
    <w:rsid w:val="00F96D8D"/>
    <w:rsid w:val="00F97054"/>
    <w:rsid w:val="00FA1C72"/>
    <w:rsid w:val="00FB32E0"/>
    <w:rsid w:val="00FD6183"/>
    <w:rsid w:val="00FE41D8"/>
    <w:rsid w:val="00FE5C88"/>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4FE958"/>
  <w14:defaultImageDpi w14:val="330"/>
  <w15:docId w15:val="{9AE40C2C-D322-7944-97DC-DD3CF83A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CD0218"/>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2"/>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31195C"/>
    <w:pPr>
      <w:spacing w:before="320" w:after="120"/>
      <w:outlineLvl w:val="1"/>
    </w:pPr>
    <w:rPr>
      <w:b/>
      <w:bCs/>
      <w:caps/>
      <w:color w:val="002F6C"/>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5C74B1"/>
    <w:pPr>
      <w:outlineLvl w:val="3"/>
    </w:pPr>
    <w:rPr>
      <w:rFonts w:ascii="Gill Sans MT" w:hAnsi="Gill Sans MT" w:cs="GillSansMTStd-Book"/>
      <w:b/>
      <w:bCs/>
      <w:caps/>
      <w:color w:val="7F7F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06439D"/>
    <w:pPr>
      <w:widowControl w:val="0"/>
      <w:autoSpaceDE w:val="0"/>
      <w:autoSpaceDN w:val="0"/>
      <w:adjustRightInd w:val="0"/>
      <w:textAlignment w:val="center"/>
    </w:pPr>
    <w:rPr>
      <w:rFonts w:ascii="Gill Sans MT" w:hAnsi="Gill Sans MT" w:cs="GillSansMTStd-Book"/>
      <w:color w:val="7F7F7F" w:themeColor="text1" w:themeTint="80"/>
      <w:sz w:val="22"/>
      <w:szCs w:val="22"/>
    </w:rPr>
  </w:style>
  <w:style w:type="paragraph" w:styleId="Title">
    <w:name w:val="Title"/>
    <w:next w:val="Normal"/>
    <w:link w:val="TitleChar"/>
    <w:qFormat/>
    <w:rsid w:val="00521CC3"/>
    <w:pPr>
      <w:spacing w:after="80" w:line="560" w:lineRule="atLeast"/>
      <w:contextualSpacing/>
    </w:pPr>
    <w:rPr>
      <w:rFonts w:ascii="Gill Sans MT" w:eastAsia="MS Gothic" w:hAnsi="Gill Sans MT"/>
      <w:caps/>
      <w:noProof/>
      <w:color w:val="C2113A"/>
      <w:kern w:val="24"/>
      <w:sz w:val="32"/>
      <w:szCs w:val="52"/>
    </w:rPr>
  </w:style>
  <w:style w:type="character" w:customStyle="1" w:styleId="TitleChar">
    <w:name w:val="Title Char"/>
    <w:link w:val="Title"/>
    <w:rsid w:val="00521CC3"/>
    <w:rPr>
      <w:rFonts w:ascii="Gill Sans MT" w:eastAsia="MS Gothic" w:hAnsi="Gill Sans MT"/>
      <w:caps/>
      <w:noProof/>
      <w:color w:val="C2113A"/>
      <w:kern w:val="24"/>
      <w:sz w:val="3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6770C3"/>
    <w:rPr>
      <w:rFonts w:ascii="Gill Sans MT" w:hAnsi="Gill Sans MT" w:cs="GillSansMTStd-Book"/>
      <w:caps/>
      <w:color w:val="565A5C"/>
      <w:sz w:val="16"/>
      <w:szCs w:val="16"/>
    </w:rPr>
  </w:style>
  <w:style w:type="paragraph" w:customStyle="1" w:styleId="ACRSubtitle">
    <w:name w:val="ACR Subtitle"/>
    <w:uiPriority w:val="2"/>
    <w:qFormat/>
    <w:rsid w:val="003B7455"/>
    <w:rPr>
      <w:rFonts w:ascii="Gill Sans MT" w:hAnsi="Gill Sans MT" w:cs="GillSansMTStd-Book"/>
      <w:caps/>
      <w:color w:val="6C6463"/>
      <w:sz w:val="36"/>
      <w:szCs w:val="22"/>
    </w:rPr>
  </w:style>
  <w:style w:type="paragraph" w:customStyle="1" w:styleId="ACRflyertitle">
    <w:name w:val="ACR flyer title"/>
    <w:uiPriority w:val="2"/>
    <w:qFormat/>
    <w:rsid w:val="003B7455"/>
    <w:pPr>
      <w:spacing w:after="160"/>
    </w:pPr>
    <w:rPr>
      <w:rFonts w:ascii="Gill Sans MT" w:hAnsi="Gill Sans MT" w:cs="STIXVariants-Bold"/>
      <w:color w:val="002F6C"/>
      <w:sz w:val="64"/>
      <w:szCs w:val="22"/>
    </w:rPr>
  </w:style>
  <w:style w:type="paragraph" w:styleId="Header">
    <w:name w:val="header"/>
    <w:basedOn w:val="Normal"/>
    <w:link w:val="HeaderChar"/>
    <w:uiPriority w:val="99"/>
    <w:unhideWhenUsed/>
    <w:rsid w:val="000974B3"/>
    <w:pPr>
      <w:tabs>
        <w:tab w:val="center" w:pos="4320"/>
        <w:tab w:val="right" w:pos="8640"/>
      </w:tabs>
      <w:spacing w:after="0" w:line="240" w:lineRule="auto"/>
    </w:pPr>
  </w:style>
  <w:style w:type="character" w:customStyle="1" w:styleId="HeaderChar">
    <w:name w:val="Header Char"/>
    <w:link w:val="Header"/>
    <w:uiPriority w:val="99"/>
    <w:rsid w:val="000974B3"/>
    <w:rPr>
      <w:rFonts w:ascii="Gill Sans MT" w:hAnsi="Gill Sans MT" w:cs="GillSansMTStd-Book"/>
      <w:color w:val="565A5C"/>
      <w:sz w:val="22"/>
      <w:szCs w:val="22"/>
    </w:rPr>
  </w:style>
  <w:style w:type="character" w:customStyle="1" w:styleId="Heading2Char">
    <w:name w:val="Heading 2 Char"/>
    <w:link w:val="Heading2"/>
    <w:uiPriority w:val="2"/>
    <w:rsid w:val="0031195C"/>
    <w:rPr>
      <w:rFonts w:ascii="Gill Sans MT" w:hAnsi="Gill Sans MT" w:cs="GillSansMTStd-Book"/>
      <w:b/>
      <w:bCs/>
      <w:caps/>
      <w:color w:val="002F6C"/>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5C74B1"/>
    <w:rPr>
      <w:rFonts w:ascii="Gill Sans MT" w:hAnsi="Gill Sans MT" w:cs="GillSansMTStd-Book"/>
      <w:b/>
      <w:bCs/>
      <w:caps/>
      <w:color w:val="7F7F7F"/>
      <w:sz w:val="20"/>
      <w:szCs w:val="22"/>
    </w:rPr>
  </w:style>
  <w:style w:type="paragraph" w:customStyle="1" w:styleId="Bullet1">
    <w:name w:val="Bullet 1"/>
    <w:basedOn w:val="Normal"/>
    <w:autoRedefine/>
    <w:uiPriority w:val="2"/>
    <w:qFormat/>
    <w:rsid w:val="00B705BB"/>
    <w:pPr>
      <w:widowControl w:val="0"/>
      <w:numPr>
        <w:numId w:val="17"/>
      </w:numPr>
      <w:autoSpaceDE w:val="0"/>
      <w:autoSpaceDN w:val="0"/>
      <w:adjustRightInd w:val="0"/>
      <w:spacing w:after="80"/>
      <w:ind w:left="360"/>
      <w:textAlignment w:val="cente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autoRedefine/>
    <w:uiPriority w:val="2"/>
    <w:qFormat/>
    <w:rsid w:val="00CD0218"/>
    <w:pPr>
      <w:numPr>
        <w:numId w:val="18"/>
      </w:numPr>
      <w:spacing w:after="240" w:line="280" w:lineRule="atLeast"/>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282B1E"/>
    <w:pPr>
      <w:suppressAutoHyphens/>
      <w:spacing w:before="40" w:after="40" w:line="240" w:lineRule="auto"/>
      <w:jc w:val="right"/>
    </w:pPr>
    <w:rPr>
      <w:rFonts w:ascii="GillSansMTStd-Book" w:hAnsi="GillSansMTStd-Book"/>
      <w:caps/>
      <w:color w:val="7F7F7F" w:themeColor="text1" w:themeTint="80"/>
      <w:spacing w:val="1"/>
      <w:sz w:val="12"/>
      <w:szCs w:val="12"/>
    </w:rPr>
  </w:style>
  <w:style w:type="paragraph" w:customStyle="1" w:styleId="Instructions">
    <w:name w:val="Instructions"/>
    <w:next w:val="Normal"/>
    <w:uiPriority w:val="2"/>
    <w:qFormat/>
    <w:rsid w:val="00781224"/>
    <w:pPr>
      <w:numPr>
        <w:numId w:val="21"/>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D96C36"/>
    <w:rPr>
      <w:rFonts w:ascii="Gill Sans MT" w:hAnsi="Gill Sans MT"/>
      <w:b w:val="0"/>
      <w:i w:val="0"/>
      <w:color w:val="7F7F7F"/>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CD0218"/>
    <w:pPr>
      <w:spacing w:before="40" w:after="40" w:line="240" w:lineRule="auto"/>
    </w:pPr>
    <w:rPr>
      <w:caps/>
      <w:noProof/>
      <w:sz w:val="12"/>
      <w:szCs w:val="12"/>
    </w:rPr>
  </w:style>
  <w:style w:type="paragraph" w:styleId="Quote">
    <w:name w:val="Quote"/>
    <w:basedOn w:val="Normal"/>
    <w:next w:val="Normal"/>
    <w:link w:val="QuoteChar"/>
    <w:uiPriority w:val="29"/>
    <w:qFormat/>
    <w:rsid w:val="00692463"/>
    <w:pPr>
      <w:numPr>
        <w:ilvl w:val="1"/>
      </w:numPr>
      <w:spacing w:before="240" w:line="240" w:lineRule="auto"/>
    </w:pPr>
    <w:rPr>
      <w:rFonts w:eastAsia="Calibri" w:cs="Calibri"/>
      <w:sz w:val="28"/>
      <w:szCs w:val="28"/>
    </w:rPr>
  </w:style>
  <w:style w:type="character" w:customStyle="1" w:styleId="QuoteChar">
    <w:name w:val="Quote Char"/>
    <w:link w:val="Quote"/>
    <w:uiPriority w:val="29"/>
    <w:rsid w:val="0028350E"/>
    <w:rPr>
      <w:rFonts w:ascii="Gill Sans MT" w:eastAsia="Calibri" w:hAnsi="Gill Sans MT" w:cs="Calibri"/>
      <w:color w:val="7F7F7F"/>
      <w:sz w:val="28"/>
      <w:szCs w:val="28"/>
    </w:rPr>
  </w:style>
  <w:style w:type="paragraph" w:customStyle="1" w:styleId="In-LinePhoto">
    <w:name w:val="In-Line Photo"/>
    <w:next w:val="Left-Credit"/>
    <w:qFormat/>
    <w:rsid w:val="00CD0218"/>
    <w:pPr>
      <w:spacing w:before="480"/>
      <w:jc w:val="right"/>
    </w:pPr>
    <w:rPr>
      <w:rFonts w:ascii="Gill Sans MT" w:hAnsi="Gill Sans MT"/>
      <w:noProof/>
      <w:color w:val="6C6463"/>
      <w:sz w:val="22"/>
    </w:rPr>
  </w:style>
  <w:style w:type="paragraph" w:customStyle="1" w:styleId="Photo">
    <w:name w:val="Photo"/>
    <w:uiPriority w:val="2"/>
    <w:qFormat/>
    <w:rsid w:val="006F4DF5"/>
    <w:rPr>
      <w:rFonts w:ascii="Gill Sans MT" w:hAnsi="Gill Sans MT"/>
      <w:noProof/>
      <w:color w:val="7F7F7F"/>
      <w:sz w:val="22"/>
    </w:rPr>
  </w:style>
  <w:style w:type="paragraph" w:customStyle="1" w:styleId="CaptionBox">
    <w:name w:val="Caption Box"/>
    <w:uiPriority w:val="2"/>
    <w:qFormat/>
    <w:rsid w:val="00FE41D8"/>
    <w:pPr>
      <w:spacing w:before="120" w:after="120"/>
    </w:pPr>
    <w:rPr>
      <w:rFonts w:ascii="Gill Sans MT" w:eastAsiaTheme="minorEastAsia" w:hAnsi="Gill Sans MT" w:cs="GillSansMTStd-Book"/>
      <w:color w:val="7F7F7F" w:themeColor="text1" w:themeTint="80"/>
      <w:sz w:val="16"/>
      <w:szCs w:val="16"/>
    </w:rPr>
  </w:style>
  <w:style w:type="table" w:styleId="TableGrid">
    <w:name w:val="Table Grid"/>
    <w:basedOn w:val="TableNormal"/>
    <w:uiPriority w:val="59"/>
    <w:rsid w:val="0065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le">
    <w:name w:val="Sub Tile"/>
    <w:uiPriority w:val="2"/>
    <w:qFormat/>
    <w:rsid w:val="002533AE"/>
    <w:rPr>
      <w:rFonts w:ascii="Gill Sans MT" w:eastAsia="MS Gothic" w:hAnsi="Gill Sans MT"/>
      <w:caps/>
      <w:noProof/>
      <w:color w:val="EEECE1" w:themeColor="background2"/>
      <w:kern w:val="24"/>
      <w:sz w:val="44"/>
      <w:szCs w:val="52"/>
    </w:rPr>
  </w:style>
  <w:style w:type="paragraph" w:customStyle="1" w:styleId="Introtext">
    <w:name w:val="Intro text"/>
    <w:uiPriority w:val="2"/>
    <w:qFormat/>
    <w:rsid w:val="003B7455"/>
    <w:pPr>
      <w:spacing w:before="80" w:after="80"/>
    </w:pPr>
    <w:rPr>
      <w:rFonts w:ascii="Gill Sans MT" w:hAnsi="Gill Sans MT" w:cs="GillSansMTStd-Book"/>
      <w:color w:val="6C6463"/>
      <w:sz w:val="28"/>
      <w:szCs w:val="22"/>
    </w:rPr>
  </w:style>
  <w:style w:type="paragraph" w:customStyle="1" w:styleId="ExhibitTitle">
    <w:name w:val="Exhibit Title"/>
    <w:basedOn w:val="Normal"/>
    <w:next w:val="Normal"/>
    <w:qFormat/>
    <w:rsid w:val="00EB77F6"/>
    <w:pPr>
      <w:keepNext/>
      <w:keepLines/>
      <w:pBdr>
        <w:top w:val="single" w:sz="18" w:space="1" w:color="0067B9"/>
      </w:pBdr>
      <w:spacing w:before="240" w:after="60" w:line="276" w:lineRule="auto"/>
      <w:ind w:left="1440" w:hanging="1440"/>
    </w:pPr>
    <w:rPr>
      <w:rFonts w:ascii="Arial" w:eastAsia="Times New Roman" w:hAnsi="Arial" w:cs="Times New Roman"/>
      <w:b/>
      <w:snapToGrid w:val="0"/>
      <w:color w:val="auto"/>
      <w:sz w:val="18"/>
      <w:szCs w:val="20"/>
    </w:rPr>
  </w:style>
  <w:style w:type="paragraph" w:styleId="ListParagraph">
    <w:name w:val="List Paragraph"/>
    <w:basedOn w:val="Normal"/>
    <w:uiPriority w:val="34"/>
    <w:qFormat/>
    <w:rsid w:val="00E61066"/>
    <w:pPr>
      <w:spacing w:after="160" w:line="259" w:lineRule="auto"/>
      <w:ind w:left="720"/>
      <w:contextualSpacing/>
    </w:pPr>
    <w:rPr>
      <w:rFonts w:asciiTheme="minorHAnsi" w:eastAsiaTheme="minorHAnsi" w:hAnsiTheme="minorHAnsi" w:cstheme="minorBidi"/>
      <w:color w:val="auto"/>
    </w:rPr>
  </w:style>
  <w:style w:type="table" w:customStyle="1" w:styleId="GridTable21">
    <w:name w:val="Grid Table 21"/>
    <w:basedOn w:val="TableNormal"/>
    <w:next w:val="GridTable2"/>
    <w:uiPriority w:val="47"/>
    <w:rsid w:val="00E61066"/>
    <w:rPr>
      <w:rFonts w:asciiTheme="minorHAnsi" w:eastAsia="Times New Roman" w:hAnsiTheme="minorHAnsi" w:cstheme="minorBid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99"/>
    <w:semiHidden/>
    <w:rsid w:val="00E610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celtext">
    <w:name w:val="Table cel text"/>
    <w:uiPriority w:val="2"/>
    <w:qFormat/>
    <w:rsid w:val="006D67A6"/>
    <w:rPr>
      <w:rFonts w:ascii="Gill Sans MT" w:hAnsi="Gill Sans MT" w:cs="Arial"/>
      <w:color w:val="6C6463"/>
      <w:sz w:val="16"/>
      <w:szCs w:val="16"/>
    </w:rPr>
  </w:style>
  <w:style w:type="paragraph" w:customStyle="1" w:styleId="Tabelcellbullet">
    <w:name w:val="Tabel cell bullet"/>
    <w:basedOn w:val="Tableceltext"/>
    <w:uiPriority w:val="2"/>
    <w:qFormat/>
    <w:rsid w:val="0031195C"/>
    <w:pPr>
      <w:numPr>
        <w:numId w:val="27"/>
      </w:numPr>
      <w:tabs>
        <w:tab w:val="left" w:pos="158"/>
      </w:tabs>
      <w:spacing w:after="20"/>
      <w:ind w:left="158" w:hanging="158"/>
    </w:pPr>
  </w:style>
  <w:style w:type="paragraph" w:customStyle="1" w:styleId="TableColHead">
    <w:name w:val="Table Col Head"/>
    <w:uiPriority w:val="2"/>
    <w:qFormat/>
    <w:rsid w:val="0017385B"/>
    <w:rPr>
      <w:rFonts w:ascii="Gill Sans MT" w:hAnsi="Gill Sans MT" w:cs="Arial"/>
      <w:b/>
      <w:color w:val="6C6463"/>
      <w:sz w:val="16"/>
      <w:szCs w:val="16"/>
    </w:rPr>
  </w:style>
  <w:style w:type="paragraph" w:customStyle="1" w:styleId="BriefText">
    <w:name w:val="Brief Text"/>
    <w:basedOn w:val="Normal"/>
    <w:qFormat/>
    <w:rsid w:val="001160A9"/>
    <w:pPr>
      <w:spacing w:after="60" w:line="264" w:lineRule="auto"/>
    </w:pPr>
    <w:rPr>
      <w:rFonts w:ascii="Arial" w:eastAsiaTheme="minorHAnsi" w:hAnsi="Arial" w:cstheme="minorBidi"/>
      <w:color w:val="auto"/>
    </w:rPr>
  </w:style>
  <w:style w:type="paragraph" w:customStyle="1" w:styleId="LightBlueHeading">
    <w:name w:val="Light Blue Heading"/>
    <w:basedOn w:val="BriefText"/>
    <w:qFormat/>
    <w:rsid w:val="001160A9"/>
    <w:pPr>
      <w:keepNext/>
      <w:keepLines/>
      <w:spacing w:before="240" w:after="120" w:line="240" w:lineRule="auto"/>
    </w:pPr>
    <w:rPr>
      <w:rFonts w:ascii="Arial Bold" w:hAnsi="Arial Bold" w:cs="Times New Roman"/>
      <w:b/>
      <w:color w:val="0067B9"/>
    </w:rPr>
  </w:style>
  <w:style w:type="paragraph" w:customStyle="1" w:styleId="TableText">
    <w:name w:val="Table Text"/>
    <w:basedOn w:val="Normal"/>
    <w:link w:val="TableTextChar"/>
    <w:qFormat/>
    <w:rsid w:val="00F36B93"/>
    <w:pPr>
      <w:spacing w:before="40" w:after="40" w:line="276" w:lineRule="auto"/>
    </w:pPr>
    <w:rPr>
      <w:rFonts w:ascii="Arial" w:eastAsia="Times New Roman" w:hAnsi="Arial" w:cs="Calibri"/>
      <w:color w:val="auto"/>
      <w:sz w:val="18"/>
      <w:szCs w:val="24"/>
    </w:rPr>
  </w:style>
  <w:style w:type="character" w:customStyle="1" w:styleId="TableTextChar">
    <w:name w:val="Table Text Char"/>
    <w:link w:val="TableText"/>
    <w:rsid w:val="00F36B93"/>
    <w:rPr>
      <w:rFonts w:ascii="Arial" w:eastAsia="Times New Roman" w:hAnsi="Arial" w:cs="Calibri"/>
      <w:sz w:val="18"/>
      <w:szCs w:val="24"/>
    </w:rPr>
  </w:style>
  <w:style w:type="paragraph" w:customStyle="1" w:styleId="TableBullet">
    <w:name w:val="Table Bullet"/>
    <w:basedOn w:val="TableText"/>
    <w:rsid w:val="00F36B93"/>
    <w:pPr>
      <w:numPr>
        <w:numId w:val="30"/>
      </w:numPr>
      <w:tabs>
        <w:tab w:val="clear" w:pos="105"/>
        <w:tab w:val="num" w:pos="360"/>
      </w:tabs>
      <w:spacing w:line="240" w:lineRule="auto"/>
      <w:ind w:left="259" w:hanging="259"/>
    </w:pPr>
    <w:rPr>
      <w:szCs w:val="20"/>
    </w:rPr>
  </w:style>
  <w:style w:type="paragraph" w:customStyle="1" w:styleId="References">
    <w:name w:val="References"/>
    <w:uiPriority w:val="2"/>
    <w:qFormat/>
    <w:rsid w:val="00AB7D16"/>
    <w:pPr>
      <w:spacing w:after="80"/>
    </w:pPr>
    <w:rPr>
      <w:rFonts w:ascii="Gill Sans MT" w:hAnsi="Gill Sans MT" w:cs="Arial"/>
      <w:color w:val="6C6463"/>
      <w:sz w:val="16"/>
      <w:szCs w:val="16"/>
    </w:rPr>
  </w:style>
  <w:style w:type="paragraph" w:customStyle="1" w:styleId="TableHeading">
    <w:name w:val="Table Heading"/>
    <w:basedOn w:val="Normal"/>
    <w:uiPriority w:val="1"/>
    <w:qFormat/>
    <w:rsid w:val="00EA0E47"/>
    <w:pPr>
      <w:keepNext/>
      <w:spacing w:before="40" w:after="40" w:line="240" w:lineRule="auto"/>
      <w:jc w:val="center"/>
    </w:pPr>
    <w:rPr>
      <w:rFonts w:ascii="Arial" w:eastAsiaTheme="minorHAnsi" w:hAnsi="Arial" w:cstheme="minorBidi"/>
      <w:b/>
      <w:bCs/>
      <w:color w:val="auto"/>
      <w:sz w:val="20"/>
    </w:rPr>
  </w:style>
  <w:style w:type="character" w:styleId="CommentReference">
    <w:name w:val="annotation reference"/>
    <w:basedOn w:val="DefaultParagraphFont"/>
    <w:uiPriority w:val="99"/>
    <w:semiHidden/>
    <w:unhideWhenUsed/>
    <w:rsid w:val="00405B27"/>
    <w:rPr>
      <w:sz w:val="16"/>
      <w:szCs w:val="16"/>
    </w:rPr>
  </w:style>
  <w:style w:type="paragraph" w:styleId="CommentText">
    <w:name w:val="annotation text"/>
    <w:basedOn w:val="Normal"/>
    <w:link w:val="CommentTextChar"/>
    <w:uiPriority w:val="99"/>
    <w:semiHidden/>
    <w:unhideWhenUsed/>
    <w:rsid w:val="00405B27"/>
    <w:pPr>
      <w:spacing w:line="240" w:lineRule="auto"/>
    </w:pPr>
    <w:rPr>
      <w:sz w:val="20"/>
      <w:szCs w:val="20"/>
    </w:rPr>
  </w:style>
  <w:style w:type="character" w:customStyle="1" w:styleId="CommentTextChar">
    <w:name w:val="Comment Text Char"/>
    <w:basedOn w:val="DefaultParagraphFont"/>
    <w:link w:val="CommentText"/>
    <w:uiPriority w:val="99"/>
    <w:semiHidden/>
    <w:rsid w:val="00405B27"/>
    <w:rPr>
      <w:rFonts w:ascii="Gill Sans MT" w:hAnsi="Gill Sans MT" w:cs="GillSansMTStd-Book"/>
      <w:color w:val="6C6463"/>
    </w:rPr>
  </w:style>
  <w:style w:type="paragraph" w:styleId="CommentSubject">
    <w:name w:val="annotation subject"/>
    <w:basedOn w:val="CommentText"/>
    <w:next w:val="CommentText"/>
    <w:link w:val="CommentSubjectChar"/>
    <w:uiPriority w:val="99"/>
    <w:semiHidden/>
    <w:unhideWhenUsed/>
    <w:rsid w:val="00405B27"/>
    <w:rPr>
      <w:b/>
      <w:bCs/>
    </w:rPr>
  </w:style>
  <w:style w:type="character" w:customStyle="1" w:styleId="CommentSubjectChar">
    <w:name w:val="Comment Subject Char"/>
    <w:basedOn w:val="CommentTextChar"/>
    <w:link w:val="CommentSubject"/>
    <w:uiPriority w:val="99"/>
    <w:semiHidden/>
    <w:rsid w:val="00405B27"/>
    <w:rPr>
      <w:rFonts w:ascii="Gill Sans MT" w:hAnsi="Gill Sans MT" w:cs="GillSansMTStd-Book"/>
      <w:b/>
      <w:bCs/>
      <w:color w:val="6C6463"/>
    </w:rPr>
  </w:style>
  <w:style w:type="character" w:styleId="UnresolvedMention">
    <w:name w:val="Unresolved Mention"/>
    <w:basedOn w:val="DefaultParagraphFont"/>
    <w:uiPriority w:val="99"/>
    <w:semiHidden/>
    <w:unhideWhenUsed/>
    <w:rsid w:val="00EA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 w:id="2029287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unesdoc.unesco.org/images/0023/002324/232453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B1A3-EB5F-4871-A121-2A0916130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1718</Words>
  <Characters>9795</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Sonja</dc:creator>
  <cp:keywords/>
  <dc:description/>
  <cp:lastModifiedBy>Dzula, Maria (Ritka)</cp:lastModifiedBy>
  <cp:revision>2</cp:revision>
  <cp:lastPrinted>2018-10-24T22:02:00Z</cp:lastPrinted>
  <dcterms:created xsi:type="dcterms:W3CDTF">2018-11-15T20:28:00Z</dcterms:created>
  <dcterms:modified xsi:type="dcterms:W3CDTF">2018-11-15T20:28:00Z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